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细黑" w:hAnsi="华文细黑" w:eastAsia="黑体"/>
          <w:b/>
          <w:sz w:val="32"/>
          <w:szCs w:val="32"/>
        </w:rPr>
      </w:pPr>
      <w:r>
        <w:rPr>
          <w:rFonts w:hint="eastAsia" w:ascii="华文细黑" w:hAnsi="华文细黑" w:eastAsia="黑体"/>
          <w:b/>
          <w:sz w:val="32"/>
          <w:szCs w:val="32"/>
        </w:rPr>
        <w:t>上海政法学院“上海市优秀毕业研究生”评选量化标准一览表</w:t>
      </w:r>
    </w:p>
    <w:p>
      <w:pPr>
        <w:jc w:val="center"/>
        <w:rPr>
          <w:rFonts w:hint="eastAsia" w:ascii="华文细黑" w:hAnsi="华文细黑" w:eastAsia="黑体"/>
          <w:b/>
          <w:sz w:val="30"/>
          <w:szCs w:val="30"/>
        </w:rPr>
      </w:pPr>
    </w:p>
    <w:tbl>
      <w:tblPr>
        <w:tblStyle w:val="3"/>
        <w:tblW w:w="12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5742"/>
        <w:gridCol w:w="945"/>
        <w:gridCol w:w="870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考评项目</w:t>
            </w:r>
          </w:p>
        </w:tc>
        <w:tc>
          <w:tcPr>
            <w:tcW w:w="5742" w:type="dxa"/>
            <w:vAlign w:val="center"/>
          </w:tcPr>
          <w:p>
            <w:pPr>
              <w:spacing w:line="360" w:lineRule="auto"/>
              <w:ind w:firstLine="602" w:firstLineChars="250"/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评分标准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次数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得分</w:t>
            </w:r>
          </w:p>
        </w:tc>
        <w:tc>
          <w:tcPr>
            <w:tcW w:w="2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具体奖项名称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（一）奖学金</w:t>
            </w: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1.获得国家奖学金1次加30分。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2.获得上海市奖学金1次加20分。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29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r>
              <w:rPr>
                <w:rFonts w:hint="eastAsia"/>
              </w:rPr>
              <w:t>3.获得校级学业奖学金一等奖1次加15分，二等奖1次加10分，三等奖5分。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（二）荣誉和表彰</w:t>
            </w: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1.获得国家级荣誉1项加30分。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2.获得市级荣誉1项加15分。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3.获得校级荣誉1项加5分。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512" w:type="dxa"/>
            <w:gridSpan w:val="4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注：获集体荣誉的，主要负责人加获奖级别的满分，其余参与人减半加分。同一个项目获多次奖的（包括团队和个人，均按一次加分），以最高奖项的加分为准。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（三）学术参与（此模块15分为上限）</w:t>
            </w: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1.在CSSCI核心期刊上发表论文1篇加独立作者加5分，第一作者加3分，第二作者加1.5分，第三作者加0.5分，第三作者以后不加分。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2.在一般省级刊物以上发表论文1篇独立作者加2分，第一作者加1.5分，第二作者加0.5分，第二作者之后不加分。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3.参与专著编写2万字及以上加2分，同时担任主编再加1分，担任第一副主编加0.8分，担任第二副主编加0.5分。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 参与教材编写3万字及以上加2分，同时担任主编再加1分，担任第一副主编再加0.8分，担任第二副主编再加0.5分。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29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5.作为项目组成员参与各类科研项目并已结项，能够提供项目书原件，且有4万字及以上结项成果的，国家级课题加4分，省市级课题加2分，校级课题加1分。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6.在出版社出版的论文集上发表学术论文2000字及以上的，一篇加1分。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（四）社会实践和公益服务（此模块15分为上限）</w:t>
            </w: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1.参加我校寒暑期社会实践项目并结项的，1项加1分；多人参加的，主要负责人加0.8分，一般参与者加0.2分。（上限2分）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2．参加挑战杯项目1项并结项的，加1分。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3.参加学校“三助一辅”岗位一年以上者加2分。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4.成功参加校内组织的献血1次加分2分。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29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5.参加校级及以上“精神文明好项目”并结项的，1项加2分。一般参与者加1分。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6.担任学生干部1年以上加2分，有兼任</w:t>
            </w:r>
            <w:r>
              <w:rPr>
                <w:rFonts w:hint="eastAsia"/>
                <w:lang w:eastAsia="zh-CN"/>
              </w:rPr>
              <w:t>者</w:t>
            </w:r>
            <w:r>
              <w:rPr>
                <w:rFonts w:hint="eastAsia"/>
              </w:rPr>
              <w:t>再加1分。最多不超过3分。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7.其他社会实践活动立项并顺利结项的校级项目</w:t>
            </w:r>
            <w:bookmarkStart w:id="0" w:name="_GoBack"/>
            <w:bookmarkEnd w:id="0"/>
            <w:r>
              <w:rPr>
                <w:rFonts w:hint="eastAsia"/>
              </w:rPr>
              <w:t>，加1分；多人参加的，主要负责人加0.8分，一般参与者加0.2分。（上限2分）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29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8.参加《上政法律评论》编辑工作一年以上的，加1.5分。一年以下不加分。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25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备注：1.（一）和（二）模块的加分不设上限。</w:t>
            </w:r>
          </w:p>
          <w:p>
            <w:pPr>
              <w:ind w:left="630" w:hanging="630" w:hangingChars="300"/>
              <w:rPr>
                <w:rFonts w:hint="eastAsia"/>
              </w:rPr>
            </w:pPr>
            <w:r>
              <w:rPr>
                <w:rFonts w:hint="eastAsia"/>
              </w:rPr>
              <w:t xml:space="preserve">      2.因各项评奖评优已经考虑过（三）、（四）模块的因子，故设上限15分，超出无效。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55" w:type="dxa"/>
            <w:gridSpan w:val="2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黑体" w:eastAsia="黑体"/>
                <w:sz w:val="24"/>
              </w:rPr>
              <w:t>签字确认：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黑体" w:eastAsia="黑体"/>
                <w:sz w:val="24"/>
              </w:rPr>
              <w:t>总  分</w:t>
            </w:r>
          </w:p>
        </w:tc>
        <w:tc>
          <w:tcPr>
            <w:tcW w:w="3825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华文细黑" w:hAnsi="华文细黑" w:eastAsia="黑体"/>
          <w:b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43722"/>
    <w:rsid w:val="56670C51"/>
    <w:rsid w:val="5DD40FFC"/>
    <w:rsid w:val="7AFF2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2019-02-16T01:15:28Z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