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1" w:firstLineChars="200"/>
        <w:jc w:val="center"/>
        <w:textAlignment w:val="center"/>
        <w:outlineLvl w:val="9"/>
        <w:rPr>
          <w:rFonts w:hint="eastAsia" w:ascii="华文中宋" w:hAnsi="华文中宋" w:eastAsia="华文中宋" w:cs="华文中宋"/>
          <w:b/>
          <w:bCs/>
          <w:color w:val="auto"/>
          <w:kern w:val="0"/>
          <w:sz w:val="36"/>
          <w:szCs w:val="36"/>
          <w:u w:val="none"/>
        </w:rPr>
      </w:pPr>
      <w:r>
        <w:rPr>
          <w:rFonts w:hint="eastAsia" w:ascii="华文中宋" w:hAnsi="华文中宋" w:eastAsia="华文中宋" w:cs="华文中宋"/>
          <w:b/>
          <w:bCs/>
          <w:color w:val="auto"/>
          <w:kern w:val="0"/>
          <w:sz w:val="36"/>
          <w:szCs w:val="36"/>
          <w:u w:val="none"/>
          <w:lang w:val="en-US" w:eastAsia="zh-CN"/>
        </w:rPr>
        <w:t xml:space="preserve"> </w:t>
      </w:r>
      <w:r>
        <w:rPr>
          <w:rFonts w:hint="eastAsia" w:ascii="华文中宋" w:hAnsi="华文中宋" w:eastAsia="华文中宋" w:cs="华文中宋"/>
          <w:b/>
          <w:bCs/>
          <w:color w:val="auto"/>
          <w:kern w:val="0"/>
          <w:sz w:val="36"/>
          <w:szCs w:val="36"/>
          <w:u w:val="none"/>
        </w:rPr>
        <w:t>上海政法学院科研工作考核暂行办法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1" w:firstLineChars="200"/>
        <w:jc w:val="center"/>
        <w:textAlignment w:val="center"/>
        <w:outlineLvl w:val="9"/>
        <w:rPr>
          <w:rFonts w:hint="eastAsia" w:ascii="黑体" w:hAnsi="黑体" w:eastAsia="黑体" w:cs="黑体"/>
          <w:b/>
          <w:bCs/>
          <w:color w:val="auto"/>
          <w:kern w:val="0"/>
          <w:sz w:val="36"/>
          <w:szCs w:val="36"/>
          <w:u w:val="none"/>
          <w:lang w:eastAsia="zh-CN"/>
        </w:rPr>
      </w:pPr>
      <w:r>
        <w:rPr>
          <w:rFonts w:hint="eastAsia" w:ascii="华文中宋" w:hAnsi="华文中宋" w:eastAsia="华文中宋" w:cs="华文中宋"/>
          <w:b/>
          <w:bCs/>
          <w:color w:val="auto"/>
          <w:kern w:val="0"/>
          <w:sz w:val="36"/>
          <w:szCs w:val="36"/>
          <w:u w:val="none"/>
          <w:lang w:eastAsia="zh-CN"/>
        </w:rPr>
        <w:t>（</w:t>
      </w:r>
      <w:r>
        <w:rPr>
          <w:rFonts w:hint="eastAsia" w:ascii="华文中宋" w:hAnsi="华文中宋" w:eastAsia="华文中宋" w:cs="华文中宋"/>
          <w:b/>
          <w:bCs/>
          <w:color w:val="auto"/>
          <w:kern w:val="0"/>
          <w:sz w:val="36"/>
          <w:szCs w:val="36"/>
          <w:u w:val="none"/>
          <w:lang w:val="en-US" w:eastAsia="zh-CN"/>
        </w:rPr>
        <w:t>第二次征</w:t>
      </w:r>
      <w:bookmarkStart w:id="0" w:name="_GoBack"/>
      <w:bookmarkEnd w:id="0"/>
      <w:r>
        <w:rPr>
          <w:rFonts w:hint="eastAsia" w:ascii="华文中宋" w:hAnsi="华文中宋" w:eastAsia="华文中宋" w:cs="华文中宋"/>
          <w:b/>
          <w:bCs/>
          <w:color w:val="auto"/>
          <w:kern w:val="0"/>
          <w:sz w:val="36"/>
          <w:szCs w:val="36"/>
          <w:u w:val="none"/>
          <w:lang w:val="en-US" w:eastAsia="zh-CN"/>
        </w:rPr>
        <w:t>求意见稿</w:t>
      </w:r>
      <w:r>
        <w:rPr>
          <w:rFonts w:hint="eastAsia" w:ascii="华文中宋" w:hAnsi="华文中宋" w:eastAsia="华文中宋" w:cs="华文中宋"/>
          <w:b/>
          <w:bCs/>
          <w:color w:val="auto"/>
          <w:kern w:val="0"/>
          <w:sz w:val="36"/>
          <w:szCs w:val="36"/>
          <w:u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3" w:firstLineChars="200"/>
        <w:jc w:val="center"/>
        <w:textAlignment w:val="center"/>
        <w:outlineLvl w:val="9"/>
        <w:rPr>
          <w:rFonts w:hint="eastAsia" w:ascii="黑体" w:hAnsi="黑体" w:eastAsia="黑体" w:cs="黑体"/>
          <w:b/>
          <w:bCs/>
          <w:color w:val="auto"/>
          <w:kern w:val="0"/>
          <w:sz w:val="36"/>
          <w:szCs w:val="36"/>
          <w:u w:val="none"/>
          <w:lang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sz w:val="30"/>
          <w:szCs w:val="30"/>
          <w:u w:val="none"/>
        </w:rPr>
      </w:pPr>
      <w:r>
        <w:rPr>
          <w:rFonts w:hint="eastAsia" w:ascii="黑体" w:hAnsi="黑体" w:eastAsia="黑体" w:cs="黑体"/>
          <w:b/>
          <w:bCs/>
          <w:color w:val="auto"/>
          <w:kern w:val="0"/>
          <w:sz w:val="30"/>
          <w:szCs w:val="30"/>
          <w:u w:val="none"/>
        </w:rPr>
        <w:t>第一条</w:t>
      </w:r>
      <w:r>
        <w:rPr>
          <w:rFonts w:hint="eastAsia" w:ascii="黑体" w:hAnsi="黑体" w:eastAsia="黑体" w:cs="黑体"/>
          <w:b/>
          <w:bCs/>
          <w:color w:val="auto"/>
          <w:kern w:val="0"/>
          <w:sz w:val="30"/>
          <w:szCs w:val="30"/>
          <w:u w:val="none"/>
          <w:lang w:val="en-US" w:eastAsia="zh-CN"/>
        </w:rPr>
        <w:t xml:space="preserve">  </w:t>
      </w:r>
      <w:r>
        <w:rPr>
          <w:rFonts w:hint="eastAsia" w:ascii="黑体" w:hAnsi="黑体" w:eastAsia="黑体" w:cs="黑体"/>
          <w:b/>
          <w:bCs/>
          <w:color w:val="auto"/>
          <w:kern w:val="0"/>
          <w:sz w:val="30"/>
          <w:szCs w:val="30"/>
          <w:u w:val="none"/>
        </w:rPr>
        <w:t>制定目的</w:t>
      </w:r>
    </w:p>
    <w:p>
      <w:pPr>
        <w:widowControl/>
        <w:ind w:firstLine="450" w:firstLineChars="150"/>
        <w:jc w:val="left"/>
        <w:textAlignment w:val="center"/>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为进一步加强学校的科研管理，规范科研工作考核与评估方法，全面调动教师的科研积极性和创造性，提升学校科研层次，特制定本办法。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rPr>
        <w:t>第二条</w:t>
      </w:r>
      <w:r>
        <w:rPr>
          <w:rFonts w:hint="eastAsia" w:ascii="黑体" w:hAnsi="黑体" w:eastAsia="黑体" w:cs="黑体"/>
          <w:b/>
          <w:bCs/>
          <w:color w:val="auto"/>
          <w:kern w:val="0"/>
          <w:sz w:val="30"/>
          <w:szCs w:val="30"/>
          <w:u w:val="none"/>
          <w:lang w:val="en-US" w:eastAsia="zh-CN"/>
        </w:rPr>
        <w:t xml:space="preserve">  </w:t>
      </w:r>
      <w:r>
        <w:rPr>
          <w:rFonts w:hint="eastAsia" w:ascii="黑体" w:hAnsi="黑体" w:eastAsia="黑体" w:cs="黑体"/>
          <w:b/>
          <w:bCs/>
          <w:color w:val="auto"/>
          <w:kern w:val="0"/>
          <w:sz w:val="30"/>
          <w:szCs w:val="30"/>
          <w:u w:val="none"/>
        </w:rPr>
        <w:t>适用范围</w:t>
      </w:r>
    </w:p>
    <w:p>
      <w:pPr>
        <w:widowControl/>
        <w:ind w:firstLine="441" w:firstLineChars="147"/>
        <w:jc w:val="left"/>
        <w:textAlignment w:val="center"/>
        <w:rPr>
          <w:rFonts w:hint="eastAsia" w:ascii="仿宋" w:hAnsi="仿宋" w:eastAsia="仿宋" w:cs="仿宋"/>
          <w:color w:val="auto"/>
          <w:sz w:val="30"/>
          <w:szCs w:val="30"/>
          <w:u w:val="none"/>
        </w:rPr>
      </w:pPr>
      <w:r>
        <w:rPr>
          <w:rFonts w:hint="eastAsia" w:ascii="仿宋" w:hAnsi="仿宋" w:eastAsia="仿宋" w:cs="仿宋"/>
          <w:color w:val="auto"/>
          <w:kern w:val="0"/>
          <w:sz w:val="30"/>
          <w:szCs w:val="30"/>
          <w:u w:val="none"/>
        </w:rPr>
        <w:t>由学校人事处核定的在编在岗教师、专职科研人员适用本办法。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rPr>
        <w:t>第三条</w:t>
      </w:r>
      <w:r>
        <w:rPr>
          <w:rFonts w:hint="eastAsia" w:ascii="黑体" w:hAnsi="黑体" w:eastAsia="黑体" w:cs="黑体"/>
          <w:b/>
          <w:bCs/>
          <w:color w:val="auto"/>
          <w:kern w:val="0"/>
          <w:sz w:val="30"/>
          <w:szCs w:val="30"/>
          <w:u w:val="none"/>
          <w:lang w:val="en-US" w:eastAsia="zh-CN"/>
        </w:rPr>
        <w:t xml:space="preserve">  </w:t>
      </w:r>
      <w:r>
        <w:rPr>
          <w:rFonts w:hint="eastAsia" w:ascii="黑体" w:hAnsi="黑体" w:eastAsia="黑体" w:cs="黑体"/>
          <w:b/>
          <w:bCs/>
          <w:color w:val="auto"/>
          <w:kern w:val="0"/>
          <w:sz w:val="30"/>
          <w:szCs w:val="30"/>
          <w:u w:val="none"/>
        </w:rPr>
        <w:t>学校认定的期刊分类</w:t>
      </w:r>
    </w:p>
    <w:p>
      <w:pPr>
        <w:widowControl/>
        <w:ind w:firstLine="384"/>
        <w:jc w:val="left"/>
        <w:rPr>
          <w:rFonts w:hint="eastAsia" w:ascii="仿宋" w:hAnsi="仿宋" w:eastAsia="仿宋" w:cs="仿宋"/>
          <w:b w:val="0"/>
          <w:bCs/>
          <w:color w:val="auto"/>
          <w:kern w:val="0"/>
          <w:sz w:val="30"/>
          <w:szCs w:val="30"/>
          <w:u w:val="none"/>
        </w:rPr>
      </w:pPr>
      <w:r>
        <w:rPr>
          <w:rFonts w:hint="eastAsia" w:ascii="仿宋" w:hAnsi="仿宋" w:eastAsia="仿宋" w:cs="仿宋"/>
          <w:b w:val="0"/>
          <w:bCs/>
          <w:color w:val="auto"/>
          <w:kern w:val="0"/>
          <w:sz w:val="30"/>
          <w:szCs w:val="30"/>
          <w:u w:val="none"/>
        </w:rPr>
        <w:t>期刊分为权威期刊、重要核心期刊、一般核心期刊、一般期刊</w:t>
      </w:r>
      <w:r>
        <w:rPr>
          <w:rFonts w:hint="eastAsia" w:ascii="仿宋" w:hAnsi="仿宋" w:eastAsia="仿宋" w:cs="仿宋"/>
          <w:b w:val="0"/>
          <w:bCs/>
          <w:color w:val="auto"/>
          <w:kern w:val="0"/>
          <w:sz w:val="30"/>
          <w:szCs w:val="30"/>
          <w:u w:val="none"/>
          <w:lang w:eastAsia="zh-CN"/>
        </w:rPr>
        <w:t>、核心期刊类成果五</w:t>
      </w:r>
      <w:r>
        <w:rPr>
          <w:rFonts w:hint="eastAsia" w:ascii="仿宋" w:hAnsi="仿宋" w:eastAsia="仿宋" w:cs="仿宋"/>
          <w:b w:val="0"/>
          <w:bCs/>
          <w:color w:val="auto"/>
          <w:kern w:val="0"/>
          <w:sz w:val="30"/>
          <w:szCs w:val="30"/>
          <w:u w:val="none"/>
        </w:rPr>
        <w:t>类</w:t>
      </w:r>
      <w:r>
        <w:rPr>
          <w:rFonts w:hint="eastAsia" w:ascii="仿宋" w:hAnsi="仿宋" w:eastAsia="仿宋" w:cs="仿宋"/>
          <w:b w:val="0"/>
          <w:bCs/>
          <w:color w:val="auto"/>
          <w:kern w:val="0"/>
          <w:sz w:val="30"/>
          <w:szCs w:val="30"/>
          <w:u w:val="none"/>
          <w:lang w:eastAsia="zh-CN"/>
        </w:rPr>
        <w:t>。</w:t>
      </w:r>
    </w:p>
    <w:p>
      <w:pPr>
        <w:widowControl/>
        <w:numPr>
          <w:ilvl w:val="0"/>
          <w:numId w:val="1"/>
        </w:numPr>
        <w:ind w:firstLine="384"/>
        <w:jc w:val="left"/>
        <w:rPr>
          <w:rFonts w:hint="eastAsia" w:ascii="楷体" w:hAnsi="楷体" w:eastAsia="楷体" w:cs="楷体"/>
          <w:b/>
          <w:bCs/>
          <w:color w:val="auto"/>
          <w:kern w:val="0"/>
          <w:sz w:val="30"/>
          <w:szCs w:val="30"/>
          <w:u w:val="none"/>
        </w:rPr>
      </w:pPr>
      <w:r>
        <w:rPr>
          <w:rFonts w:hint="eastAsia" w:ascii="楷体" w:hAnsi="楷体" w:eastAsia="楷体" w:cs="楷体"/>
          <w:b/>
          <w:bCs/>
          <w:color w:val="auto"/>
          <w:kern w:val="0"/>
          <w:sz w:val="30"/>
          <w:szCs w:val="30"/>
          <w:u w:val="none"/>
        </w:rPr>
        <w:t>权威期刊论文</w:t>
      </w:r>
    </w:p>
    <w:p>
      <w:pPr>
        <w:widowControl/>
        <w:numPr>
          <w:ilvl w:val="0"/>
          <w:numId w:val="0"/>
        </w:numPr>
        <w:ind w:firstLine="600" w:firstLineChars="20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在《中国社会科学》、《中国科学》发表的论文和被《新华文摘》全文转摘的论文</w:t>
      </w:r>
    </w:p>
    <w:p>
      <w:pPr>
        <w:widowControl/>
        <w:numPr>
          <w:ilvl w:val="0"/>
          <w:numId w:val="1"/>
        </w:numPr>
        <w:ind w:left="0" w:leftChars="0" w:firstLine="384" w:firstLineChars="0"/>
        <w:jc w:val="left"/>
        <w:rPr>
          <w:rFonts w:hint="eastAsia" w:ascii="楷体" w:hAnsi="楷体" w:eastAsia="楷体" w:cs="楷体"/>
          <w:b/>
          <w:bCs/>
          <w:color w:val="auto"/>
          <w:kern w:val="0"/>
          <w:sz w:val="30"/>
          <w:szCs w:val="30"/>
          <w:u w:val="none"/>
        </w:rPr>
      </w:pPr>
      <w:r>
        <w:rPr>
          <w:rFonts w:hint="eastAsia" w:ascii="楷体" w:hAnsi="楷体" w:eastAsia="楷体" w:cs="楷体"/>
          <w:b/>
          <w:bCs/>
          <w:color w:val="auto"/>
          <w:kern w:val="0"/>
          <w:sz w:val="30"/>
          <w:szCs w:val="30"/>
          <w:u w:val="none"/>
        </w:rPr>
        <w:t>重要核心期刊</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1.综合性人文、社会科学类</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（1）《北京大学学报（哲学社会科学版）》</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（2）《中国人民大学学报》</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（3）《学术月刊》</w:t>
      </w:r>
    </w:p>
    <w:p>
      <w:pPr>
        <w:widowControl/>
        <w:ind w:firstLine="384"/>
        <w:jc w:val="left"/>
        <w:rPr>
          <w:rFonts w:hint="eastAsia" w:ascii="仿宋" w:hAnsi="仿宋" w:eastAsia="仿宋" w:cs="仿宋"/>
          <w:b w:val="0"/>
          <w:bCs w:val="0"/>
          <w:color w:val="auto"/>
          <w:kern w:val="0"/>
          <w:sz w:val="30"/>
          <w:szCs w:val="30"/>
          <w:u w:val="none"/>
        </w:rPr>
      </w:pPr>
      <w:r>
        <w:rPr>
          <w:rFonts w:hint="eastAsia" w:ascii="仿宋" w:hAnsi="仿宋" w:eastAsia="仿宋" w:cs="仿宋"/>
          <w:b w:val="0"/>
          <w:bCs w:val="0"/>
          <w:color w:val="auto"/>
          <w:kern w:val="0"/>
          <w:sz w:val="30"/>
          <w:szCs w:val="30"/>
          <w:u w:val="none"/>
        </w:rPr>
        <w:t>（4）</w:t>
      </w:r>
      <w:r>
        <w:rPr>
          <w:rFonts w:hint="eastAsia" w:ascii="仿宋" w:hAnsi="仿宋" w:eastAsia="仿宋" w:cs="仿宋"/>
          <w:b w:val="0"/>
          <w:bCs w:val="0"/>
          <w:color w:val="auto"/>
          <w:kern w:val="0"/>
          <w:sz w:val="30"/>
          <w:szCs w:val="30"/>
          <w:u w:val="none"/>
          <w:lang w:eastAsia="zh-CN"/>
        </w:rPr>
        <w:t>《社会科学》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2.法学类</w:t>
      </w:r>
    </w:p>
    <w:p>
      <w:pPr>
        <w:widowControl/>
        <w:ind w:firstLine="36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（1）《法学研究》</w:t>
      </w:r>
    </w:p>
    <w:p>
      <w:pPr>
        <w:widowControl/>
        <w:ind w:firstLine="36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（2）《中国法学》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3. 社会学、人口学类</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（1）《社会学研究》</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（2）《中国人口科学》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4.哲学类</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（1）《哲学研究》</w:t>
      </w:r>
    </w:p>
    <w:p>
      <w:pPr>
        <w:widowControl/>
        <w:ind w:firstLine="384"/>
        <w:jc w:val="left"/>
        <w:rPr>
          <w:rFonts w:hint="eastAsia" w:ascii="仿宋" w:hAnsi="仿宋" w:eastAsia="仿宋" w:cs="仿宋"/>
          <w:b w:val="0"/>
          <w:bCs w:val="0"/>
          <w:color w:val="auto"/>
          <w:kern w:val="0"/>
          <w:sz w:val="30"/>
          <w:szCs w:val="30"/>
          <w:u w:val="none"/>
        </w:rPr>
      </w:pPr>
      <w:r>
        <w:rPr>
          <w:rFonts w:hint="eastAsia" w:ascii="仿宋" w:hAnsi="仿宋" w:eastAsia="仿宋" w:cs="仿宋"/>
          <w:b w:val="0"/>
          <w:bCs w:val="0"/>
          <w:color w:val="auto"/>
          <w:kern w:val="0"/>
          <w:sz w:val="30"/>
          <w:szCs w:val="30"/>
          <w:u w:val="none"/>
        </w:rPr>
        <w:t>（2）</w:t>
      </w:r>
      <w:r>
        <w:rPr>
          <w:rFonts w:hint="eastAsia" w:ascii="仿宋" w:hAnsi="仿宋" w:eastAsia="仿宋" w:cs="仿宋"/>
          <w:b w:val="0"/>
          <w:bCs w:val="0"/>
          <w:color w:val="auto"/>
          <w:kern w:val="0"/>
          <w:sz w:val="30"/>
          <w:szCs w:val="30"/>
          <w:u w:val="none"/>
          <w:lang w:eastAsia="zh-CN"/>
        </w:rPr>
        <w:t>《自然辩证法研究》</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5. 马克思主义</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w:t>
      </w:r>
      <w:r>
        <w:rPr>
          <w:rFonts w:hint="eastAsia" w:ascii="仿宋" w:hAnsi="仿宋" w:eastAsia="仿宋" w:cs="仿宋"/>
          <w:color w:val="auto"/>
          <w:kern w:val="0"/>
          <w:sz w:val="30"/>
          <w:szCs w:val="30"/>
          <w:u w:val="none"/>
          <w:lang w:val="en-US" w:eastAsia="zh-CN"/>
        </w:rPr>
        <w:t>1</w:t>
      </w:r>
      <w:r>
        <w:rPr>
          <w:rFonts w:hint="eastAsia" w:ascii="仿宋" w:hAnsi="仿宋" w:eastAsia="仿宋" w:cs="仿宋"/>
          <w:color w:val="auto"/>
          <w:kern w:val="0"/>
          <w:sz w:val="30"/>
          <w:szCs w:val="30"/>
          <w:u w:val="none"/>
        </w:rPr>
        <w:t>）《马克思主义研究》</w:t>
      </w:r>
    </w:p>
    <w:p>
      <w:pPr>
        <w:widowControl/>
        <w:ind w:firstLine="384"/>
        <w:jc w:val="left"/>
        <w:rPr>
          <w:rFonts w:hint="eastAsia" w:ascii="仿宋" w:hAnsi="仿宋" w:eastAsia="仿宋" w:cs="仿宋"/>
          <w:b w:val="0"/>
          <w:bCs w:val="0"/>
          <w:color w:val="auto"/>
          <w:kern w:val="0"/>
          <w:sz w:val="30"/>
          <w:szCs w:val="30"/>
          <w:u w:val="none"/>
        </w:rPr>
      </w:pPr>
      <w:r>
        <w:rPr>
          <w:rFonts w:hint="eastAsia" w:ascii="仿宋" w:hAnsi="仿宋" w:eastAsia="仿宋" w:cs="仿宋"/>
          <w:b w:val="0"/>
          <w:bCs w:val="0"/>
          <w:color w:val="auto"/>
          <w:kern w:val="0"/>
          <w:sz w:val="30"/>
          <w:szCs w:val="30"/>
          <w:u w:val="none"/>
        </w:rPr>
        <w:t>（</w:t>
      </w:r>
      <w:r>
        <w:rPr>
          <w:rFonts w:hint="eastAsia" w:ascii="仿宋" w:hAnsi="仿宋" w:eastAsia="仿宋" w:cs="仿宋"/>
          <w:b w:val="0"/>
          <w:bCs w:val="0"/>
          <w:color w:val="auto"/>
          <w:kern w:val="0"/>
          <w:sz w:val="30"/>
          <w:szCs w:val="30"/>
          <w:u w:val="none"/>
          <w:lang w:val="en-US" w:eastAsia="zh-CN"/>
        </w:rPr>
        <w:t>2</w:t>
      </w:r>
      <w:r>
        <w:rPr>
          <w:rFonts w:hint="eastAsia" w:ascii="仿宋" w:hAnsi="仿宋" w:eastAsia="仿宋" w:cs="仿宋"/>
          <w:b w:val="0"/>
          <w:bCs w:val="0"/>
          <w:color w:val="auto"/>
          <w:kern w:val="0"/>
          <w:sz w:val="30"/>
          <w:szCs w:val="30"/>
          <w:u w:val="none"/>
        </w:rPr>
        <w:t>）《</w:t>
      </w:r>
      <w:r>
        <w:rPr>
          <w:rFonts w:hint="eastAsia" w:ascii="仿宋" w:hAnsi="仿宋" w:eastAsia="仿宋" w:cs="仿宋"/>
          <w:b w:val="0"/>
          <w:bCs w:val="0"/>
          <w:color w:val="auto"/>
          <w:kern w:val="0"/>
          <w:sz w:val="30"/>
          <w:szCs w:val="30"/>
          <w:u w:val="none"/>
          <w:lang w:eastAsia="zh-CN"/>
        </w:rPr>
        <w:t>中共党史研究</w:t>
      </w:r>
      <w:r>
        <w:rPr>
          <w:rFonts w:hint="eastAsia" w:ascii="仿宋" w:hAnsi="仿宋" w:eastAsia="仿宋" w:cs="仿宋"/>
          <w:b w:val="0"/>
          <w:bCs w:val="0"/>
          <w:color w:val="auto"/>
          <w:kern w:val="0"/>
          <w:sz w:val="30"/>
          <w:szCs w:val="30"/>
          <w:u w:val="none"/>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6.管理学</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（1）《管理世界》</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（2）《南开管理评论》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7.政治学类</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（1）《政治学研究》</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（2）《世界经济与政治》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8.经济学类</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（1）《经济研究》</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（2）《世界经济》</w:t>
      </w:r>
    </w:p>
    <w:p>
      <w:pPr>
        <w:widowControl/>
        <w:ind w:firstLine="602" w:firstLineChars="200"/>
        <w:jc w:val="left"/>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9.语言学汉语类</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（1）《中国语文》</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（2）《世界汉语教学》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1</w:t>
      </w:r>
      <w:r>
        <w:rPr>
          <w:rFonts w:hint="eastAsia" w:ascii="仿宋" w:hAnsi="仿宋" w:eastAsia="仿宋" w:cs="仿宋"/>
          <w:b/>
          <w:bCs/>
          <w:color w:val="auto"/>
          <w:kern w:val="0"/>
          <w:sz w:val="30"/>
          <w:szCs w:val="30"/>
          <w:u w:val="none"/>
          <w:lang w:val="en-US" w:eastAsia="zh-CN"/>
        </w:rPr>
        <w:t>0</w:t>
      </w:r>
      <w:r>
        <w:rPr>
          <w:rFonts w:hint="eastAsia" w:ascii="仿宋" w:hAnsi="仿宋" w:eastAsia="仿宋" w:cs="仿宋"/>
          <w:b/>
          <w:bCs/>
          <w:color w:val="auto"/>
          <w:kern w:val="0"/>
          <w:sz w:val="30"/>
          <w:szCs w:val="30"/>
          <w:u w:val="none"/>
        </w:rPr>
        <w:t>.语言学外语类</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（1）《外语教学与研究》</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（2）《外语界》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1</w:t>
      </w:r>
      <w:r>
        <w:rPr>
          <w:rFonts w:hint="eastAsia" w:ascii="仿宋" w:hAnsi="仿宋" w:eastAsia="仿宋" w:cs="仿宋"/>
          <w:b/>
          <w:bCs/>
          <w:color w:val="auto"/>
          <w:kern w:val="0"/>
          <w:sz w:val="30"/>
          <w:szCs w:val="30"/>
          <w:u w:val="none"/>
          <w:lang w:val="en-US" w:eastAsia="zh-CN"/>
        </w:rPr>
        <w:t>1</w:t>
      </w:r>
      <w:r>
        <w:rPr>
          <w:rFonts w:hint="eastAsia" w:ascii="仿宋" w:hAnsi="仿宋" w:eastAsia="仿宋" w:cs="仿宋"/>
          <w:b/>
          <w:bCs/>
          <w:color w:val="auto"/>
          <w:kern w:val="0"/>
          <w:sz w:val="30"/>
          <w:szCs w:val="30"/>
          <w:u w:val="none"/>
        </w:rPr>
        <w:t>.外国文学</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（1）《外国文学评论》</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（2）《外国文学研究》</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1</w:t>
      </w:r>
      <w:r>
        <w:rPr>
          <w:rFonts w:hint="eastAsia" w:ascii="仿宋" w:hAnsi="仿宋" w:eastAsia="仿宋" w:cs="仿宋"/>
          <w:b/>
          <w:bCs/>
          <w:color w:val="auto"/>
          <w:kern w:val="0"/>
          <w:sz w:val="30"/>
          <w:szCs w:val="30"/>
          <w:u w:val="none"/>
          <w:lang w:val="en-US" w:eastAsia="zh-CN"/>
        </w:rPr>
        <w:t>2</w:t>
      </w:r>
      <w:r>
        <w:rPr>
          <w:rFonts w:hint="eastAsia" w:ascii="仿宋" w:hAnsi="仿宋" w:eastAsia="仿宋" w:cs="仿宋"/>
          <w:b/>
          <w:bCs/>
          <w:color w:val="auto"/>
          <w:kern w:val="0"/>
          <w:sz w:val="30"/>
          <w:szCs w:val="30"/>
          <w:u w:val="none"/>
        </w:rPr>
        <w:t>.中国文学</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（1）《文学评论》</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（2）《文艺争鸣》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1</w:t>
      </w:r>
      <w:r>
        <w:rPr>
          <w:rFonts w:hint="eastAsia" w:ascii="仿宋" w:hAnsi="仿宋" w:eastAsia="仿宋" w:cs="仿宋"/>
          <w:b/>
          <w:bCs/>
          <w:color w:val="auto"/>
          <w:kern w:val="0"/>
          <w:sz w:val="30"/>
          <w:szCs w:val="30"/>
          <w:u w:val="none"/>
          <w:lang w:val="en-US" w:eastAsia="zh-CN"/>
        </w:rPr>
        <w:t>3</w:t>
      </w:r>
      <w:r>
        <w:rPr>
          <w:rFonts w:hint="eastAsia" w:ascii="仿宋" w:hAnsi="仿宋" w:eastAsia="仿宋" w:cs="仿宋"/>
          <w:b/>
          <w:bCs/>
          <w:color w:val="auto"/>
          <w:kern w:val="0"/>
          <w:sz w:val="30"/>
          <w:szCs w:val="30"/>
          <w:u w:val="none"/>
        </w:rPr>
        <w:t>.新闻学与传播学类</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（1）《编辑学报》</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（2）《新闻与传播研究》</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1</w:t>
      </w:r>
      <w:r>
        <w:rPr>
          <w:rFonts w:hint="eastAsia" w:ascii="仿宋" w:hAnsi="仿宋" w:eastAsia="仿宋" w:cs="仿宋"/>
          <w:b/>
          <w:bCs/>
          <w:color w:val="auto"/>
          <w:kern w:val="0"/>
          <w:sz w:val="30"/>
          <w:szCs w:val="30"/>
          <w:u w:val="none"/>
          <w:lang w:val="en-US" w:eastAsia="zh-CN"/>
        </w:rPr>
        <w:t>4</w:t>
      </w:r>
      <w:r>
        <w:rPr>
          <w:rFonts w:hint="eastAsia" w:ascii="仿宋" w:hAnsi="仿宋" w:eastAsia="仿宋" w:cs="仿宋"/>
          <w:b/>
          <w:bCs/>
          <w:color w:val="auto"/>
          <w:kern w:val="0"/>
          <w:sz w:val="30"/>
          <w:szCs w:val="30"/>
          <w:u w:val="none"/>
        </w:rPr>
        <w:t>.历史学</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（1）《历史研究》</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（2）《近代史研究》</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1</w:t>
      </w:r>
      <w:r>
        <w:rPr>
          <w:rFonts w:hint="eastAsia" w:ascii="仿宋" w:hAnsi="仿宋" w:eastAsia="仿宋" w:cs="仿宋"/>
          <w:b/>
          <w:bCs/>
          <w:color w:val="auto"/>
          <w:kern w:val="0"/>
          <w:sz w:val="30"/>
          <w:szCs w:val="30"/>
          <w:u w:val="none"/>
          <w:lang w:val="en-US" w:eastAsia="zh-CN"/>
        </w:rPr>
        <w:t>5</w:t>
      </w:r>
      <w:r>
        <w:rPr>
          <w:rFonts w:hint="eastAsia" w:ascii="仿宋" w:hAnsi="仿宋" w:eastAsia="仿宋" w:cs="仿宋"/>
          <w:b/>
          <w:bCs/>
          <w:color w:val="auto"/>
          <w:kern w:val="0"/>
          <w:sz w:val="30"/>
          <w:szCs w:val="30"/>
          <w:u w:val="none"/>
        </w:rPr>
        <w:t>.教育学</w:t>
      </w:r>
    </w:p>
    <w:p>
      <w:pPr>
        <w:widowControl/>
        <w:ind w:firstLine="48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（1）《教育研究》</w:t>
      </w:r>
    </w:p>
    <w:p>
      <w:pPr>
        <w:widowControl/>
        <w:ind w:firstLine="48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（2）《北京大学教育评论》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1</w:t>
      </w:r>
      <w:r>
        <w:rPr>
          <w:rFonts w:hint="eastAsia" w:ascii="仿宋" w:hAnsi="仿宋" w:eastAsia="仿宋" w:cs="仿宋"/>
          <w:b/>
          <w:bCs/>
          <w:color w:val="auto"/>
          <w:kern w:val="0"/>
          <w:sz w:val="30"/>
          <w:szCs w:val="30"/>
          <w:u w:val="none"/>
          <w:lang w:val="en-US" w:eastAsia="zh-CN"/>
        </w:rPr>
        <w:t>6</w:t>
      </w:r>
      <w:r>
        <w:rPr>
          <w:rFonts w:hint="eastAsia" w:ascii="仿宋" w:hAnsi="仿宋" w:eastAsia="仿宋" w:cs="仿宋"/>
          <w:b/>
          <w:bCs/>
          <w:color w:val="auto"/>
          <w:kern w:val="0"/>
          <w:sz w:val="30"/>
          <w:szCs w:val="30"/>
          <w:u w:val="none"/>
        </w:rPr>
        <w:t>.体育类</w:t>
      </w:r>
    </w:p>
    <w:p>
      <w:pPr>
        <w:widowControl/>
        <w:ind w:firstLine="600" w:firstLineChars="20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 xml:space="preserve">（1）《体育科学》  </w:t>
      </w:r>
    </w:p>
    <w:p>
      <w:pPr>
        <w:widowControl/>
        <w:ind w:firstLine="600" w:firstLineChars="20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（2）《上海体育学院学报》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1</w:t>
      </w:r>
      <w:r>
        <w:rPr>
          <w:rFonts w:hint="eastAsia" w:ascii="仿宋" w:hAnsi="仿宋" w:eastAsia="仿宋" w:cs="仿宋"/>
          <w:b/>
          <w:bCs/>
          <w:color w:val="auto"/>
          <w:kern w:val="0"/>
          <w:sz w:val="30"/>
          <w:szCs w:val="30"/>
          <w:u w:val="none"/>
          <w:lang w:val="en-US" w:eastAsia="zh-CN"/>
        </w:rPr>
        <w:t>7</w:t>
      </w:r>
      <w:r>
        <w:rPr>
          <w:rFonts w:hint="eastAsia" w:ascii="仿宋" w:hAnsi="仿宋" w:eastAsia="仿宋" w:cs="仿宋"/>
          <w:b/>
          <w:bCs/>
          <w:color w:val="auto"/>
          <w:kern w:val="0"/>
          <w:sz w:val="30"/>
          <w:szCs w:val="30"/>
          <w:u w:val="none"/>
        </w:rPr>
        <w:t>.心理学</w:t>
      </w:r>
    </w:p>
    <w:p>
      <w:pPr>
        <w:widowControl/>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 xml:space="preserve">  </w:t>
      </w:r>
      <w:r>
        <w:rPr>
          <w:rFonts w:hint="eastAsia" w:ascii="仿宋" w:hAnsi="仿宋" w:eastAsia="仿宋" w:cs="仿宋"/>
          <w:color w:val="auto"/>
          <w:kern w:val="0"/>
          <w:sz w:val="30"/>
          <w:szCs w:val="30"/>
          <w:u w:val="none"/>
          <w:lang w:val="en-US" w:eastAsia="zh-CN"/>
        </w:rPr>
        <w:t xml:space="preserve">  </w:t>
      </w:r>
      <w:r>
        <w:rPr>
          <w:rFonts w:hint="eastAsia" w:ascii="仿宋" w:hAnsi="仿宋" w:eastAsia="仿宋" w:cs="仿宋"/>
          <w:color w:val="auto"/>
          <w:kern w:val="0"/>
          <w:sz w:val="30"/>
          <w:szCs w:val="30"/>
          <w:u w:val="none"/>
        </w:rPr>
        <w:t>（1）《心理学报》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（2）《心理发展与教育》</w:t>
      </w:r>
    </w:p>
    <w:p>
      <w:pPr>
        <w:widowControl/>
        <w:ind w:firstLine="602" w:firstLineChars="200"/>
        <w:jc w:val="left"/>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1</w:t>
      </w:r>
      <w:r>
        <w:rPr>
          <w:rFonts w:hint="eastAsia" w:ascii="仿宋" w:hAnsi="仿宋" w:eastAsia="仿宋" w:cs="仿宋"/>
          <w:b/>
          <w:bCs/>
          <w:color w:val="auto"/>
          <w:kern w:val="0"/>
          <w:sz w:val="30"/>
          <w:szCs w:val="30"/>
          <w:u w:val="none"/>
          <w:lang w:val="en-US" w:eastAsia="zh-CN"/>
        </w:rPr>
        <w:t>8</w:t>
      </w:r>
      <w:r>
        <w:rPr>
          <w:rFonts w:hint="eastAsia" w:ascii="仿宋" w:hAnsi="仿宋" w:eastAsia="仿宋" w:cs="仿宋"/>
          <w:b/>
          <w:bCs/>
          <w:color w:val="auto"/>
          <w:kern w:val="0"/>
          <w:sz w:val="30"/>
          <w:szCs w:val="30"/>
          <w:u w:val="none"/>
        </w:rPr>
        <w:t>.自动化技术、计算机技术类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（1）《计算机学报》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（2）《软件学报》</w:t>
      </w:r>
    </w:p>
    <w:p>
      <w:pPr>
        <w:widowControl/>
        <w:ind w:firstLine="602" w:firstLineChars="200"/>
        <w:jc w:val="left"/>
        <w:rPr>
          <w:rFonts w:hint="eastAsia" w:ascii="仿宋" w:hAnsi="仿宋" w:eastAsia="仿宋" w:cs="仿宋"/>
          <w:b/>
          <w:bCs/>
          <w:color w:val="auto"/>
          <w:kern w:val="0"/>
          <w:sz w:val="30"/>
          <w:szCs w:val="30"/>
          <w:u w:val="none"/>
          <w:lang w:eastAsia="zh-CN"/>
        </w:rPr>
      </w:pPr>
      <w:r>
        <w:rPr>
          <w:rFonts w:hint="eastAsia" w:ascii="仿宋" w:hAnsi="仿宋" w:eastAsia="仿宋" w:cs="仿宋"/>
          <w:b/>
          <w:bCs/>
          <w:color w:val="auto"/>
          <w:kern w:val="0"/>
          <w:sz w:val="30"/>
          <w:szCs w:val="30"/>
          <w:u w:val="none"/>
          <w:lang w:val="en-US" w:eastAsia="zh-CN"/>
        </w:rPr>
        <w:t>19</w:t>
      </w:r>
      <w:r>
        <w:rPr>
          <w:rFonts w:hint="eastAsia" w:ascii="仿宋" w:hAnsi="仿宋" w:eastAsia="仿宋" w:cs="仿宋"/>
          <w:b/>
          <w:bCs/>
          <w:color w:val="auto"/>
          <w:kern w:val="0"/>
          <w:sz w:val="30"/>
          <w:szCs w:val="30"/>
          <w:u w:val="none"/>
        </w:rPr>
        <w:t>.</w:t>
      </w:r>
      <w:r>
        <w:rPr>
          <w:rFonts w:hint="eastAsia" w:ascii="仿宋" w:hAnsi="仿宋" w:eastAsia="仿宋" w:cs="仿宋"/>
          <w:b/>
          <w:bCs/>
          <w:color w:val="auto"/>
          <w:kern w:val="0"/>
          <w:sz w:val="30"/>
          <w:szCs w:val="30"/>
          <w:u w:val="none"/>
          <w:lang w:eastAsia="zh-CN"/>
        </w:rPr>
        <w:t>图书馆、情报与文献学（新增）</w:t>
      </w:r>
    </w:p>
    <w:p>
      <w:pPr>
        <w:widowControl/>
        <w:ind w:firstLine="600" w:firstLineChars="200"/>
        <w:jc w:val="left"/>
        <w:rPr>
          <w:rFonts w:hint="eastAsia" w:ascii="仿宋" w:hAnsi="仿宋" w:eastAsia="仿宋" w:cs="仿宋"/>
          <w:b w:val="0"/>
          <w:bCs w:val="0"/>
          <w:color w:val="auto"/>
          <w:kern w:val="0"/>
          <w:sz w:val="30"/>
          <w:szCs w:val="30"/>
          <w:u w:val="none"/>
          <w:lang w:val="en-US" w:eastAsia="zh-CN"/>
        </w:rPr>
      </w:pPr>
      <w:r>
        <w:rPr>
          <w:rFonts w:hint="eastAsia" w:ascii="仿宋" w:hAnsi="仿宋" w:eastAsia="仿宋" w:cs="仿宋"/>
          <w:b w:val="0"/>
          <w:bCs w:val="0"/>
          <w:color w:val="auto"/>
          <w:kern w:val="0"/>
          <w:sz w:val="30"/>
          <w:szCs w:val="30"/>
          <w:u w:val="none"/>
          <w:lang w:val="en-US" w:eastAsia="zh-CN"/>
        </w:rPr>
        <w:t xml:space="preserve"> （1）《中国图书馆学报》</w:t>
      </w:r>
    </w:p>
    <w:p>
      <w:pPr>
        <w:widowControl/>
        <w:ind w:firstLine="602" w:firstLineChars="200"/>
        <w:jc w:val="left"/>
        <w:rPr>
          <w:rFonts w:hint="eastAsia" w:ascii="仿宋" w:hAnsi="仿宋" w:eastAsia="仿宋" w:cs="仿宋"/>
          <w:b/>
          <w:bCs/>
          <w:color w:val="auto"/>
          <w:kern w:val="0"/>
          <w:sz w:val="30"/>
          <w:szCs w:val="30"/>
          <w:u w:val="none"/>
          <w:lang w:val="en-US" w:eastAsia="zh-CN"/>
        </w:rPr>
      </w:pPr>
      <w:r>
        <w:rPr>
          <w:rFonts w:hint="eastAsia" w:ascii="仿宋" w:hAnsi="仿宋" w:eastAsia="仿宋" w:cs="仿宋"/>
          <w:b/>
          <w:bCs/>
          <w:color w:val="auto"/>
          <w:kern w:val="0"/>
          <w:sz w:val="30"/>
          <w:szCs w:val="30"/>
          <w:u w:val="none"/>
          <w:lang w:val="en-US" w:eastAsia="zh-CN"/>
        </w:rPr>
        <w:t>20.文艺类</w:t>
      </w:r>
    </w:p>
    <w:p>
      <w:pPr>
        <w:widowControl/>
        <w:ind w:firstLine="600" w:firstLineChars="200"/>
        <w:jc w:val="left"/>
        <w:rPr>
          <w:rFonts w:hint="eastAsia" w:ascii="仿宋" w:hAnsi="仿宋" w:eastAsia="仿宋" w:cs="仿宋"/>
          <w:b w:val="0"/>
          <w:bCs/>
          <w:color w:val="auto"/>
          <w:kern w:val="0"/>
          <w:sz w:val="30"/>
          <w:szCs w:val="30"/>
          <w:u w:val="none"/>
          <w:lang w:val="en-US" w:eastAsia="zh-CN"/>
        </w:rPr>
      </w:pPr>
      <w:r>
        <w:rPr>
          <w:rFonts w:hint="eastAsia" w:ascii="仿宋" w:hAnsi="仿宋" w:eastAsia="仿宋" w:cs="仿宋"/>
          <w:b w:val="0"/>
          <w:bCs/>
          <w:color w:val="auto"/>
          <w:kern w:val="0"/>
          <w:sz w:val="30"/>
          <w:szCs w:val="30"/>
          <w:u w:val="none"/>
        </w:rPr>
        <w:t>（1）文艺研究</w:t>
      </w:r>
    </w:p>
    <w:p>
      <w:pPr>
        <w:widowControl/>
        <w:ind w:firstLine="602" w:firstLineChars="200"/>
        <w:jc w:val="left"/>
        <w:rPr>
          <w:rFonts w:hint="eastAsia" w:ascii="仿宋" w:hAnsi="仿宋" w:eastAsia="仿宋" w:cs="仿宋"/>
          <w:b/>
          <w:bCs/>
          <w:color w:val="auto"/>
          <w:kern w:val="0"/>
          <w:sz w:val="30"/>
          <w:szCs w:val="30"/>
          <w:u w:val="none"/>
          <w:lang w:val="en-US" w:eastAsia="zh-CN"/>
        </w:rPr>
      </w:pPr>
      <w:r>
        <w:rPr>
          <w:rFonts w:hint="eastAsia" w:ascii="仿宋" w:hAnsi="仿宋" w:eastAsia="仿宋" w:cs="仿宋"/>
          <w:b/>
          <w:bCs/>
          <w:color w:val="auto"/>
          <w:kern w:val="0"/>
          <w:sz w:val="30"/>
          <w:szCs w:val="30"/>
          <w:u w:val="none"/>
          <w:lang w:val="en-US" w:eastAsia="zh-CN"/>
        </w:rPr>
        <w:t>21.其他</w:t>
      </w:r>
    </w:p>
    <w:p>
      <w:pPr>
        <w:widowControl/>
        <w:ind w:firstLine="600" w:firstLineChars="200"/>
        <w:jc w:val="left"/>
        <w:rPr>
          <w:rFonts w:hint="eastAsia" w:ascii="仿宋" w:hAnsi="仿宋" w:eastAsia="仿宋" w:cs="仿宋"/>
          <w:b w:val="0"/>
          <w:bCs/>
          <w:color w:val="auto"/>
          <w:kern w:val="0"/>
          <w:sz w:val="30"/>
          <w:szCs w:val="30"/>
          <w:u w:val="none"/>
          <w:lang w:val="en-US" w:eastAsia="zh-CN"/>
        </w:rPr>
      </w:pPr>
      <w:r>
        <w:rPr>
          <w:rFonts w:hint="eastAsia" w:ascii="仿宋" w:hAnsi="仿宋" w:eastAsia="仿宋" w:cs="仿宋"/>
          <w:b w:val="0"/>
          <w:bCs/>
          <w:color w:val="auto"/>
          <w:kern w:val="0"/>
          <w:sz w:val="30"/>
          <w:szCs w:val="30"/>
          <w:u w:val="none"/>
        </w:rPr>
        <w:t>SSCI、SCI、</w:t>
      </w:r>
      <w:r>
        <w:rPr>
          <w:rFonts w:hint="eastAsia" w:ascii="仿宋" w:hAnsi="仿宋" w:eastAsia="仿宋" w:cs="仿宋"/>
          <w:b w:val="0"/>
          <w:bCs/>
          <w:color w:val="auto"/>
          <w:kern w:val="0"/>
          <w:sz w:val="30"/>
          <w:szCs w:val="30"/>
          <w:u w:val="none"/>
          <w:lang w:val="en-US" w:eastAsia="zh-CN"/>
        </w:rPr>
        <w:t>EI、A&amp;HCI（艺术与人文社会科学文献索引）收录的学术论文，以及《中国社会科学文摘》全文转载的学术论文，视为重要核心期刊论文。</w:t>
      </w:r>
    </w:p>
    <w:p>
      <w:pPr>
        <w:widowControl/>
        <w:ind w:firstLine="384"/>
        <w:jc w:val="left"/>
        <w:rPr>
          <w:rFonts w:hint="eastAsia" w:ascii="楷体" w:hAnsi="楷体" w:eastAsia="楷体" w:cs="楷体"/>
          <w:b/>
          <w:bCs/>
          <w:color w:val="auto"/>
          <w:kern w:val="0"/>
          <w:sz w:val="30"/>
          <w:szCs w:val="30"/>
          <w:u w:val="none"/>
        </w:rPr>
      </w:pPr>
      <w:r>
        <w:rPr>
          <w:rFonts w:hint="eastAsia" w:ascii="楷体" w:hAnsi="楷体" w:eastAsia="楷体" w:cs="楷体"/>
          <w:b/>
          <w:bCs/>
          <w:color w:val="auto"/>
          <w:kern w:val="0"/>
          <w:sz w:val="30"/>
          <w:szCs w:val="30"/>
          <w:u w:val="none"/>
          <w:lang w:eastAsia="zh-CN"/>
        </w:rPr>
        <w:t>（</w:t>
      </w:r>
      <w:r>
        <w:rPr>
          <w:rFonts w:hint="eastAsia" w:ascii="楷体" w:hAnsi="楷体" w:eastAsia="楷体" w:cs="楷体"/>
          <w:b/>
          <w:bCs/>
          <w:color w:val="auto"/>
          <w:kern w:val="0"/>
          <w:sz w:val="30"/>
          <w:szCs w:val="30"/>
          <w:u w:val="none"/>
          <w:lang w:val="en-US" w:eastAsia="zh-CN"/>
        </w:rPr>
        <w:t>三</w:t>
      </w:r>
      <w:r>
        <w:rPr>
          <w:rFonts w:hint="eastAsia" w:ascii="楷体" w:hAnsi="楷体" w:eastAsia="楷体" w:cs="楷体"/>
          <w:b/>
          <w:bCs/>
          <w:color w:val="auto"/>
          <w:kern w:val="0"/>
          <w:sz w:val="30"/>
          <w:szCs w:val="30"/>
          <w:u w:val="none"/>
          <w:lang w:eastAsia="zh-CN"/>
        </w:rPr>
        <w:t>）</w:t>
      </w:r>
      <w:r>
        <w:rPr>
          <w:rFonts w:hint="eastAsia" w:ascii="楷体" w:hAnsi="楷体" w:eastAsia="楷体" w:cs="楷体"/>
          <w:b/>
          <w:bCs/>
          <w:color w:val="auto"/>
          <w:kern w:val="0"/>
          <w:sz w:val="30"/>
          <w:szCs w:val="30"/>
          <w:u w:val="none"/>
        </w:rPr>
        <w:t>一般核心期刊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b w:val="0"/>
          <w:bCs/>
          <w:color w:val="auto"/>
          <w:kern w:val="0"/>
          <w:sz w:val="30"/>
          <w:szCs w:val="30"/>
          <w:u w:val="none"/>
        </w:rPr>
      </w:pPr>
      <w:r>
        <w:rPr>
          <w:rFonts w:hint="eastAsia" w:ascii="仿宋" w:hAnsi="仿宋" w:eastAsia="仿宋" w:cs="仿宋"/>
          <w:b w:val="0"/>
          <w:bCs/>
          <w:color w:val="auto"/>
          <w:kern w:val="0"/>
          <w:sz w:val="30"/>
          <w:szCs w:val="30"/>
          <w:u w:val="none"/>
        </w:rPr>
        <w:t>南京大学中文社会科学核心引文索引确定的当年CSSCI来源期刊</w:t>
      </w:r>
      <w:r>
        <w:rPr>
          <w:rFonts w:hint="eastAsia" w:ascii="仿宋" w:hAnsi="仿宋" w:eastAsia="仿宋" w:cs="仿宋"/>
          <w:b w:val="0"/>
          <w:bCs/>
          <w:color w:val="auto"/>
          <w:kern w:val="0"/>
          <w:sz w:val="30"/>
          <w:szCs w:val="30"/>
          <w:u w:val="none"/>
          <w:lang w:eastAsia="zh-CN"/>
        </w:rPr>
        <w:t>、</w:t>
      </w:r>
      <w:r>
        <w:rPr>
          <w:rFonts w:hint="eastAsia" w:ascii="仿宋" w:hAnsi="仿宋" w:eastAsia="仿宋" w:cs="仿宋"/>
          <w:b w:val="0"/>
          <w:bCs/>
          <w:color w:val="auto"/>
          <w:kern w:val="0"/>
          <w:sz w:val="30"/>
          <w:szCs w:val="30"/>
          <w:u w:val="none"/>
        </w:rPr>
        <w:t>扩展版与集刊。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b w:val="0"/>
          <w:bCs/>
          <w:color w:val="auto"/>
          <w:kern w:val="0"/>
          <w:sz w:val="30"/>
          <w:szCs w:val="30"/>
          <w:u w:val="none"/>
          <w:lang w:val="en-US" w:eastAsia="zh-CN"/>
        </w:rPr>
      </w:pPr>
      <w:r>
        <w:rPr>
          <w:rFonts w:hint="eastAsia" w:ascii="仿宋" w:hAnsi="仿宋" w:eastAsia="仿宋" w:cs="仿宋"/>
          <w:b w:val="0"/>
          <w:bCs/>
          <w:color w:val="auto"/>
          <w:kern w:val="0"/>
          <w:sz w:val="30"/>
          <w:szCs w:val="30"/>
          <w:u w:val="none"/>
          <w:lang w:val="en-US" w:eastAsia="zh-CN"/>
        </w:rPr>
        <w:t>CPCI-SSH和CPCI-S、EI收录的会议论文，视为一般核心期刊论文。</w:t>
      </w:r>
    </w:p>
    <w:p>
      <w:pPr>
        <w:widowControl/>
        <w:ind w:firstLine="384"/>
        <w:jc w:val="left"/>
        <w:rPr>
          <w:rFonts w:hint="eastAsia" w:ascii="仿宋" w:hAnsi="仿宋" w:eastAsia="仿宋" w:cs="仿宋"/>
          <w:b/>
          <w:bCs/>
          <w:color w:val="auto"/>
          <w:kern w:val="0"/>
          <w:sz w:val="30"/>
          <w:szCs w:val="30"/>
          <w:u w:val="none"/>
          <w:lang w:eastAsia="zh-CN"/>
        </w:rPr>
      </w:pPr>
      <w:r>
        <w:rPr>
          <w:rFonts w:hint="eastAsia" w:ascii="仿宋" w:hAnsi="仿宋" w:eastAsia="仿宋" w:cs="仿宋"/>
          <w:b/>
          <w:bCs/>
          <w:color w:val="auto"/>
          <w:kern w:val="0"/>
          <w:sz w:val="30"/>
          <w:szCs w:val="30"/>
          <w:u w:val="none"/>
          <w:lang w:eastAsia="zh-CN"/>
        </w:rPr>
        <w:t>（</w:t>
      </w:r>
      <w:r>
        <w:rPr>
          <w:rFonts w:hint="eastAsia" w:ascii="仿宋" w:hAnsi="仿宋" w:eastAsia="仿宋" w:cs="仿宋"/>
          <w:b/>
          <w:bCs/>
          <w:color w:val="auto"/>
          <w:kern w:val="0"/>
          <w:sz w:val="30"/>
          <w:szCs w:val="30"/>
          <w:u w:val="none"/>
          <w:lang w:val="en-US" w:eastAsia="zh-CN"/>
        </w:rPr>
        <w:t>四</w:t>
      </w:r>
      <w:r>
        <w:rPr>
          <w:rFonts w:hint="eastAsia" w:ascii="仿宋" w:hAnsi="仿宋" w:eastAsia="仿宋" w:cs="仿宋"/>
          <w:b/>
          <w:bCs/>
          <w:color w:val="auto"/>
          <w:kern w:val="0"/>
          <w:sz w:val="30"/>
          <w:szCs w:val="30"/>
          <w:u w:val="none"/>
          <w:lang w:eastAsia="zh-CN"/>
        </w:rPr>
        <w:t>）一般期刊</w:t>
      </w:r>
    </w:p>
    <w:p>
      <w:pPr>
        <w:numPr>
          <w:ilvl w:val="0"/>
          <w:numId w:val="0"/>
        </w:numPr>
        <w:autoSpaceDE w:val="0"/>
        <w:autoSpaceDN w:val="0"/>
        <w:adjustRightInd w:val="0"/>
        <w:ind w:firstLine="600" w:firstLineChars="200"/>
        <w:jc w:val="left"/>
        <w:rPr>
          <w:rFonts w:hint="eastAsia" w:ascii="仿宋" w:hAnsi="仿宋" w:eastAsia="仿宋" w:cs="仿宋"/>
          <w:b w:val="0"/>
          <w:bCs w:val="0"/>
          <w:color w:val="auto"/>
          <w:kern w:val="0"/>
          <w:sz w:val="30"/>
          <w:szCs w:val="30"/>
          <w:u w:val="none"/>
        </w:rPr>
      </w:pPr>
      <w:r>
        <w:rPr>
          <w:rFonts w:hint="eastAsia" w:ascii="仿宋" w:hAnsi="仿宋" w:eastAsia="仿宋" w:cs="仿宋"/>
          <w:b w:val="0"/>
          <w:bCs w:val="0"/>
          <w:color w:val="auto"/>
          <w:sz w:val="30"/>
          <w:szCs w:val="30"/>
          <w:u w:val="none"/>
        </w:rPr>
        <w:t>北京大学图书馆、北京高校图书馆期刊工作研究会编辑的</w:t>
      </w:r>
      <w:r>
        <w:rPr>
          <w:rFonts w:hint="eastAsia" w:ascii="仿宋" w:hAnsi="仿宋" w:eastAsia="仿宋" w:cs="仿宋"/>
          <w:b w:val="0"/>
          <w:bCs w:val="0"/>
          <w:color w:val="auto"/>
          <w:sz w:val="30"/>
          <w:szCs w:val="30"/>
          <w:u w:val="none"/>
          <w:lang w:eastAsia="zh-CN"/>
        </w:rPr>
        <w:t>当年的</w:t>
      </w:r>
      <w:r>
        <w:rPr>
          <w:rFonts w:hint="eastAsia" w:ascii="仿宋" w:hAnsi="仿宋" w:eastAsia="仿宋" w:cs="仿宋"/>
          <w:b w:val="0"/>
          <w:bCs w:val="0"/>
          <w:color w:val="auto"/>
          <w:sz w:val="30"/>
          <w:szCs w:val="30"/>
          <w:u w:val="none"/>
        </w:rPr>
        <w:t>《中文核心期刊要目总览》中《专业期刊一览表目录》里认定的期刊。</w:t>
      </w:r>
    </w:p>
    <w:p>
      <w:pPr>
        <w:widowControl/>
        <w:ind w:firstLine="384"/>
        <w:jc w:val="left"/>
        <w:rPr>
          <w:rFonts w:hint="eastAsia" w:ascii="楷体" w:hAnsi="楷体" w:eastAsia="楷体" w:cs="楷体"/>
          <w:b/>
          <w:bCs/>
          <w:color w:val="auto"/>
          <w:kern w:val="0"/>
          <w:sz w:val="30"/>
          <w:szCs w:val="30"/>
          <w:u w:val="none"/>
        </w:rPr>
      </w:pPr>
      <w:r>
        <w:rPr>
          <w:rFonts w:hint="eastAsia" w:ascii="楷体" w:hAnsi="楷体" w:eastAsia="楷体" w:cs="楷体"/>
          <w:b/>
          <w:bCs/>
          <w:color w:val="auto"/>
          <w:kern w:val="0"/>
          <w:sz w:val="30"/>
          <w:szCs w:val="30"/>
          <w:u w:val="none"/>
          <w:lang w:eastAsia="zh-CN"/>
        </w:rPr>
        <w:t>（</w:t>
      </w:r>
      <w:r>
        <w:rPr>
          <w:rFonts w:hint="eastAsia" w:ascii="楷体" w:hAnsi="楷体" w:eastAsia="楷体" w:cs="楷体"/>
          <w:b/>
          <w:bCs/>
          <w:color w:val="auto"/>
          <w:kern w:val="0"/>
          <w:sz w:val="30"/>
          <w:szCs w:val="30"/>
          <w:u w:val="none"/>
          <w:lang w:val="en-US" w:eastAsia="zh-CN"/>
        </w:rPr>
        <w:t>五</w:t>
      </w:r>
      <w:r>
        <w:rPr>
          <w:rFonts w:hint="eastAsia" w:ascii="楷体" w:hAnsi="楷体" w:eastAsia="楷体" w:cs="楷体"/>
          <w:b/>
          <w:bCs/>
          <w:color w:val="auto"/>
          <w:kern w:val="0"/>
          <w:sz w:val="30"/>
          <w:szCs w:val="30"/>
          <w:u w:val="none"/>
          <w:lang w:eastAsia="zh-CN"/>
        </w:rPr>
        <w:t>）</w:t>
      </w:r>
      <w:r>
        <w:rPr>
          <w:rFonts w:hint="eastAsia" w:ascii="楷体" w:hAnsi="楷体" w:eastAsia="楷体" w:cs="楷体"/>
          <w:b/>
          <w:bCs/>
          <w:color w:val="auto"/>
          <w:kern w:val="0"/>
          <w:sz w:val="30"/>
          <w:szCs w:val="30"/>
          <w:u w:val="none"/>
        </w:rPr>
        <w:t>核心期刊类成果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sz w:val="30"/>
          <w:szCs w:val="30"/>
          <w:u w:val="none"/>
        </w:rPr>
      </w:pPr>
      <w:r>
        <w:rPr>
          <w:rFonts w:hint="eastAsia" w:ascii="仿宋" w:hAnsi="仿宋" w:eastAsia="仿宋" w:cs="仿宋"/>
          <w:color w:val="auto"/>
          <w:kern w:val="0"/>
          <w:sz w:val="30"/>
          <w:szCs w:val="30"/>
          <w:u w:val="none"/>
        </w:rPr>
        <w:t>本办法第十四条（四）、（五）表中所列明的可以折合核心期刊的论文、专著、项目、决策咨询报告、内参及教学类奖项。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rPr>
        <w:t>第四条</w:t>
      </w:r>
      <w:r>
        <w:rPr>
          <w:rFonts w:hint="eastAsia" w:ascii="黑体" w:hAnsi="黑体" w:eastAsia="黑体" w:cs="黑体"/>
          <w:b/>
          <w:bCs/>
          <w:color w:val="auto"/>
          <w:kern w:val="0"/>
          <w:sz w:val="30"/>
          <w:szCs w:val="30"/>
          <w:u w:val="none"/>
          <w:lang w:val="en-US" w:eastAsia="zh-CN"/>
        </w:rPr>
        <w:t xml:space="preserve">  </w:t>
      </w:r>
      <w:r>
        <w:rPr>
          <w:rFonts w:hint="eastAsia" w:ascii="黑体" w:hAnsi="黑体" w:eastAsia="黑体" w:cs="黑体"/>
          <w:b/>
          <w:bCs/>
          <w:color w:val="auto"/>
          <w:kern w:val="0"/>
          <w:sz w:val="30"/>
          <w:szCs w:val="30"/>
          <w:u w:val="none"/>
        </w:rPr>
        <w:t>基本原则</w:t>
      </w:r>
    </w:p>
    <w:p>
      <w:pPr>
        <w:widowControl/>
        <w:ind w:firstLine="482"/>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（一）公开、公平、公正原则</w:t>
      </w:r>
      <w:r>
        <w:rPr>
          <w:rFonts w:hint="eastAsia" w:ascii="仿宋" w:hAnsi="仿宋" w:eastAsia="仿宋" w:cs="仿宋"/>
          <w:color w:val="auto"/>
          <w:kern w:val="0"/>
          <w:sz w:val="30"/>
          <w:szCs w:val="30"/>
          <w:u w:val="none"/>
          <w:lang w:eastAsia="zh-CN"/>
        </w:rPr>
        <w:t>。</w:t>
      </w:r>
      <w:r>
        <w:rPr>
          <w:rFonts w:hint="eastAsia" w:ascii="仿宋" w:hAnsi="仿宋" w:eastAsia="仿宋" w:cs="仿宋"/>
          <w:color w:val="auto"/>
          <w:kern w:val="0"/>
          <w:sz w:val="30"/>
          <w:szCs w:val="30"/>
          <w:u w:val="none"/>
        </w:rPr>
        <w:t>考核数据和所依据的成果在学校内公开。力求对教学和科研人员的科研工作和学术水平给予量化评价，同时便于检索和统计。</w:t>
      </w:r>
    </w:p>
    <w:p>
      <w:pPr>
        <w:widowControl/>
        <w:ind w:firstLine="482"/>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lang w:eastAsia="zh-CN"/>
        </w:rPr>
        <w:t>（</w:t>
      </w:r>
      <w:r>
        <w:rPr>
          <w:rFonts w:hint="eastAsia" w:ascii="仿宋" w:hAnsi="仿宋" w:eastAsia="仿宋" w:cs="仿宋"/>
          <w:color w:val="auto"/>
          <w:kern w:val="0"/>
          <w:sz w:val="30"/>
          <w:szCs w:val="30"/>
          <w:u w:val="none"/>
          <w:lang w:val="en-US" w:eastAsia="zh-CN"/>
        </w:rPr>
        <w:t>二</w:t>
      </w:r>
      <w:r>
        <w:rPr>
          <w:rFonts w:hint="eastAsia" w:ascii="仿宋" w:hAnsi="仿宋" w:eastAsia="仿宋" w:cs="仿宋"/>
          <w:color w:val="auto"/>
          <w:kern w:val="0"/>
          <w:sz w:val="30"/>
          <w:szCs w:val="30"/>
          <w:u w:val="none"/>
          <w:lang w:eastAsia="zh-CN"/>
        </w:rPr>
        <w:t>）</w:t>
      </w:r>
      <w:r>
        <w:rPr>
          <w:rFonts w:hint="eastAsia" w:ascii="仿宋" w:hAnsi="仿宋" w:eastAsia="仿宋" w:cs="仿宋"/>
          <w:color w:val="auto"/>
          <w:kern w:val="0"/>
          <w:sz w:val="30"/>
          <w:szCs w:val="30"/>
          <w:u w:val="none"/>
        </w:rPr>
        <w:t>实事求是原则</w:t>
      </w:r>
      <w:r>
        <w:rPr>
          <w:rFonts w:hint="eastAsia" w:ascii="仿宋" w:hAnsi="仿宋" w:eastAsia="仿宋" w:cs="仿宋"/>
          <w:color w:val="auto"/>
          <w:kern w:val="0"/>
          <w:sz w:val="30"/>
          <w:szCs w:val="30"/>
          <w:u w:val="none"/>
          <w:lang w:eastAsia="zh-CN"/>
        </w:rPr>
        <w:t>。</w:t>
      </w:r>
      <w:r>
        <w:rPr>
          <w:rFonts w:hint="eastAsia" w:ascii="仿宋" w:hAnsi="仿宋" w:eastAsia="仿宋" w:cs="仿宋"/>
          <w:color w:val="auto"/>
          <w:kern w:val="0"/>
          <w:sz w:val="30"/>
          <w:szCs w:val="30"/>
          <w:u w:val="none"/>
        </w:rPr>
        <w:t>被考核人员必须将本人获得的科研工作成果，按照申报程序和存档要求如实申报。</w:t>
      </w:r>
    </w:p>
    <w:p>
      <w:pPr>
        <w:widowControl/>
        <w:ind w:firstLine="482"/>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（三）数量与质量兼顾原则</w:t>
      </w:r>
      <w:r>
        <w:rPr>
          <w:rFonts w:hint="eastAsia" w:ascii="仿宋" w:hAnsi="仿宋" w:eastAsia="仿宋" w:cs="仿宋"/>
          <w:color w:val="auto"/>
          <w:kern w:val="0"/>
          <w:sz w:val="30"/>
          <w:szCs w:val="30"/>
          <w:u w:val="none"/>
          <w:lang w:eastAsia="zh-CN"/>
        </w:rPr>
        <w:t>。</w:t>
      </w:r>
      <w:r>
        <w:rPr>
          <w:rFonts w:hint="eastAsia" w:ascii="仿宋" w:hAnsi="仿宋" w:eastAsia="仿宋" w:cs="仿宋"/>
          <w:color w:val="auto"/>
          <w:kern w:val="0"/>
          <w:sz w:val="30"/>
          <w:szCs w:val="30"/>
          <w:u w:val="none"/>
        </w:rPr>
        <w:t>报送考核的科研成果根据数量和质量的不同，给予相应的计分。</w:t>
      </w:r>
    </w:p>
    <w:p>
      <w:pPr>
        <w:widowControl/>
        <w:ind w:firstLine="482"/>
        <w:jc w:val="left"/>
        <w:rPr>
          <w:rFonts w:hint="eastAsia" w:ascii="仿宋" w:hAnsi="仿宋" w:eastAsia="仿宋" w:cs="仿宋"/>
          <w:color w:val="auto"/>
          <w:sz w:val="30"/>
          <w:szCs w:val="30"/>
          <w:u w:val="none"/>
        </w:rPr>
      </w:pPr>
      <w:r>
        <w:rPr>
          <w:rFonts w:hint="eastAsia" w:ascii="仿宋" w:hAnsi="仿宋" w:eastAsia="仿宋" w:cs="仿宋"/>
          <w:color w:val="auto"/>
          <w:kern w:val="0"/>
          <w:sz w:val="30"/>
          <w:szCs w:val="30"/>
          <w:u w:val="none"/>
        </w:rPr>
        <w:t>（四）遵守学术规范原则</w:t>
      </w:r>
      <w:r>
        <w:rPr>
          <w:rFonts w:hint="eastAsia" w:ascii="仿宋" w:hAnsi="仿宋" w:eastAsia="仿宋" w:cs="仿宋"/>
          <w:color w:val="auto"/>
          <w:kern w:val="0"/>
          <w:sz w:val="30"/>
          <w:szCs w:val="30"/>
          <w:u w:val="none"/>
          <w:lang w:eastAsia="zh-CN"/>
        </w:rPr>
        <w:t>。</w:t>
      </w:r>
      <w:r>
        <w:rPr>
          <w:rFonts w:hint="eastAsia" w:ascii="仿宋" w:hAnsi="仿宋" w:eastAsia="仿宋" w:cs="仿宋"/>
          <w:color w:val="auto"/>
          <w:kern w:val="0"/>
          <w:sz w:val="30"/>
          <w:szCs w:val="30"/>
          <w:u w:val="none"/>
        </w:rPr>
        <w:t>被考核的科研成果，必须符合学术规范</w:t>
      </w:r>
      <w:r>
        <w:rPr>
          <w:rFonts w:hint="eastAsia" w:ascii="仿宋" w:hAnsi="仿宋" w:eastAsia="仿宋" w:cs="仿宋"/>
          <w:color w:val="auto"/>
          <w:kern w:val="0"/>
          <w:sz w:val="30"/>
          <w:szCs w:val="30"/>
          <w:u w:val="none"/>
          <w:lang w:eastAsia="zh-CN"/>
        </w:rPr>
        <w:t>，</w:t>
      </w:r>
      <w:r>
        <w:rPr>
          <w:rFonts w:hint="eastAsia" w:ascii="仿宋" w:hAnsi="仿宋" w:eastAsia="仿宋" w:cs="仿宋"/>
          <w:color w:val="auto"/>
          <w:kern w:val="0"/>
          <w:sz w:val="30"/>
          <w:szCs w:val="30"/>
          <w:u w:val="none"/>
        </w:rPr>
        <w:t>否则，不予计分。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rPr>
        <w:t>第五条</w:t>
      </w:r>
      <w:r>
        <w:rPr>
          <w:rFonts w:hint="eastAsia" w:ascii="黑体" w:hAnsi="黑体" w:eastAsia="黑体" w:cs="黑体"/>
          <w:b/>
          <w:bCs/>
          <w:color w:val="auto"/>
          <w:kern w:val="0"/>
          <w:sz w:val="30"/>
          <w:szCs w:val="30"/>
          <w:u w:val="none"/>
          <w:lang w:val="en-US" w:eastAsia="zh-CN"/>
        </w:rPr>
        <w:t xml:space="preserve">  </w:t>
      </w:r>
      <w:r>
        <w:rPr>
          <w:rFonts w:hint="eastAsia" w:ascii="黑体" w:hAnsi="黑体" w:eastAsia="黑体" w:cs="黑体"/>
          <w:b/>
          <w:bCs/>
          <w:color w:val="auto"/>
          <w:kern w:val="0"/>
          <w:sz w:val="30"/>
          <w:szCs w:val="30"/>
          <w:u w:val="none"/>
        </w:rPr>
        <w:t>论文署名</w:t>
      </w:r>
    </w:p>
    <w:p>
      <w:pPr>
        <w:widowControl/>
        <w:ind w:firstLine="630" w:firstLineChars="21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列入学校考核成果的作者（即我校教师）必须为第一署名作者，作者单位必须标注上海政法学院，且为第一署名单位；无标注单位则不列入考核统计。</w:t>
      </w:r>
    </w:p>
    <w:p>
      <w:pPr>
        <w:widowControl/>
        <w:ind w:firstLine="384"/>
        <w:jc w:val="left"/>
        <w:rPr>
          <w:rFonts w:hint="eastAsia" w:ascii="仿宋" w:hAnsi="仿宋" w:eastAsia="仿宋" w:cs="仿宋"/>
          <w:color w:val="auto"/>
          <w:sz w:val="30"/>
          <w:szCs w:val="30"/>
          <w:u w:val="none"/>
        </w:rPr>
      </w:pPr>
      <w:r>
        <w:rPr>
          <w:rFonts w:hint="eastAsia" w:ascii="仿宋" w:hAnsi="仿宋" w:eastAsia="仿宋" w:cs="仿宋"/>
          <w:b w:val="0"/>
          <w:bCs w:val="0"/>
          <w:color w:val="auto"/>
          <w:kern w:val="0"/>
          <w:sz w:val="30"/>
          <w:szCs w:val="30"/>
          <w:u w:val="none"/>
        </w:rPr>
        <w:t xml:space="preserve"> 在职攻读博士学位</w:t>
      </w:r>
      <w:r>
        <w:rPr>
          <w:rFonts w:hint="eastAsia" w:ascii="仿宋" w:hAnsi="仿宋" w:eastAsia="仿宋" w:cs="仿宋"/>
          <w:b w:val="0"/>
          <w:bCs w:val="0"/>
          <w:color w:val="auto"/>
          <w:kern w:val="0"/>
          <w:sz w:val="30"/>
          <w:szCs w:val="30"/>
          <w:u w:val="none"/>
          <w:lang w:eastAsia="zh-CN"/>
        </w:rPr>
        <w:t>或在博士后流动站从事研究</w:t>
      </w:r>
      <w:r>
        <w:rPr>
          <w:rFonts w:hint="eastAsia" w:ascii="仿宋" w:hAnsi="仿宋" w:eastAsia="仿宋" w:cs="仿宋"/>
          <w:b w:val="0"/>
          <w:bCs w:val="0"/>
          <w:color w:val="auto"/>
          <w:kern w:val="0"/>
          <w:sz w:val="30"/>
          <w:szCs w:val="30"/>
          <w:u w:val="none"/>
        </w:rPr>
        <w:t>的教师，将读博单位</w:t>
      </w:r>
      <w:r>
        <w:rPr>
          <w:rFonts w:hint="eastAsia" w:ascii="仿宋" w:hAnsi="仿宋" w:eastAsia="仿宋" w:cs="仿宋"/>
          <w:b w:val="0"/>
          <w:bCs w:val="0"/>
          <w:color w:val="auto"/>
          <w:kern w:val="0"/>
          <w:sz w:val="30"/>
          <w:szCs w:val="30"/>
          <w:u w:val="none"/>
          <w:lang w:eastAsia="zh-CN"/>
        </w:rPr>
        <w:t>或博士后流动站单位</w:t>
      </w:r>
      <w:r>
        <w:rPr>
          <w:rFonts w:hint="eastAsia" w:ascii="仿宋" w:hAnsi="仿宋" w:eastAsia="仿宋" w:cs="仿宋"/>
          <w:b w:val="0"/>
          <w:bCs w:val="0"/>
          <w:color w:val="auto"/>
          <w:kern w:val="0"/>
          <w:sz w:val="30"/>
          <w:szCs w:val="30"/>
          <w:u w:val="none"/>
        </w:rPr>
        <w:t>署为第一单位，上海政法学院署为第</w:t>
      </w:r>
      <w:r>
        <w:rPr>
          <w:rFonts w:hint="eastAsia" w:ascii="仿宋" w:hAnsi="仿宋" w:eastAsia="仿宋" w:cs="仿宋"/>
          <w:color w:val="auto"/>
          <w:kern w:val="0"/>
          <w:sz w:val="30"/>
          <w:szCs w:val="30"/>
          <w:u w:val="none"/>
        </w:rPr>
        <w:t>二单位的科研成果，科研工作考核时予以认定统计，但不列入科研奖励范围。</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rPr>
        <w:t>第六条</w:t>
      </w:r>
      <w:r>
        <w:rPr>
          <w:rFonts w:hint="eastAsia" w:ascii="黑体" w:hAnsi="黑体" w:eastAsia="黑体" w:cs="黑体"/>
          <w:b/>
          <w:bCs/>
          <w:color w:val="auto"/>
          <w:kern w:val="0"/>
          <w:sz w:val="30"/>
          <w:szCs w:val="30"/>
          <w:u w:val="none"/>
          <w:lang w:val="en-US" w:eastAsia="zh-CN"/>
        </w:rPr>
        <w:t xml:space="preserve">  </w:t>
      </w:r>
      <w:r>
        <w:rPr>
          <w:rFonts w:hint="eastAsia" w:ascii="黑体" w:hAnsi="黑体" w:eastAsia="黑体" w:cs="黑体"/>
          <w:b/>
          <w:bCs/>
          <w:color w:val="auto"/>
          <w:kern w:val="0"/>
          <w:sz w:val="30"/>
          <w:szCs w:val="30"/>
          <w:u w:val="none"/>
        </w:rPr>
        <w:t>考核周期和统计程序</w:t>
      </w:r>
    </w:p>
    <w:p>
      <w:pPr>
        <w:widowControl/>
        <w:ind w:firstLine="441" w:firstLineChars="147"/>
        <w:jc w:val="left"/>
        <w:rPr>
          <w:rFonts w:hint="eastAsia" w:ascii="仿宋" w:hAnsi="仿宋" w:eastAsia="仿宋" w:cs="仿宋"/>
          <w:b w:val="0"/>
          <w:bCs/>
          <w:color w:val="auto"/>
          <w:kern w:val="0"/>
          <w:sz w:val="30"/>
          <w:szCs w:val="30"/>
          <w:u w:val="none"/>
        </w:rPr>
      </w:pPr>
      <w:r>
        <w:rPr>
          <w:rFonts w:hint="eastAsia" w:ascii="仿宋" w:hAnsi="仿宋" w:eastAsia="仿宋" w:cs="仿宋"/>
          <w:b w:val="0"/>
          <w:bCs/>
          <w:color w:val="auto"/>
          <w:kern w:val="0"/>
          <w:sz w:val="30"/>
          <w:szCs w:val="30"/>
          <w:u w:val="none"/>
        </w:rPr>
        <w:t>（一）科研工作考核</w:t>
      </w:r>
      <w:r>
        <w:rPr>
          <w:rFonts w:hint="eastAsia" w:ascii="仿宋" w:hAnsi="仿宋" w:eastAsia="仿宋" w:cs="仿宋"/>
          <w:b w:val="0"/>
          <w:bCs/>
          <w:color w:val="auto"/>
          <w:kern w:val="0"/>
          <w:sz w:val="30"/>
          <w:szCs w:val="30"/>
          <w:u w:val="none"/>
          <w:lang w:eastAsia="zh-CN"/>
        </w:rPr>
        <w:t>，每</w:t>
      </w:r>
      <w:r>
        <w:rPr>
          <w:rFonts w:hint="eastAsia" w:ascii="仿宋" w:hAnsi="仿宋" w:eastAsia="仿宋" w:cs="仿宋"/>
          <w:b w:val="0"/>
          <w:bCs/>
          <w:color w:val="auto"/>
          <w:kern w:val="0"/>
          <w:sz w:val="30"/>
          <w:szCs w:val="30"/>
          <w:u w:val="none"/>
        </w:rPr>
        <w:t>年进行一次。经教师本人申请，并经科研处认定备案，教师可以将当下考核周期的核心期刊论文和科研成果转</w:t>
      </w:r>
      <w:r>
        <w:rPr>
          <w:rFonts w:hint="eastAsia" w:ascii="仿宋" w:hAnsi="仿宋" w:eastAsia="仿宋" w:cs="仿宋"/>
          <w:b w:val="0"/>
          <w:bCs/>
          <w:color w:val="auto"/>
          <w:kern w:val="0"/>
          <w:sz w:val="30"/>
          <w:szCs w:val="30"/>
          <w:u w:val="none"/>
          <w:lang w:eastAsia="zh-CN"/>
        </w:rPr>
        <w:t>入后两年</w:t>
      </w:r>
      <w:r>
        <w:rPr>
          <w:rFonts w:hint="eastAsia" w:ascii="仿宋" w:hAnsi="仿宋" w:eastAsia="仿宋" w:cs="仿宋"/>
          <w:b w:val="0"/>
          <w:bCs/>
          <w:color w:val="auto"/>
          <w:kern w:val="0"/>
          <w:sz w:val="30"/>
          <w:szCs w:val="30"/>
          <w:u w:val="none"/>
        </w:rPr>
        <w:t>考核期使用。需要将当下考核周期的核心期刊论文和科研成果转入下个考核周期的教师，必须填报《科研成果(核心期刊类、专著超额分)超额定量部分转入下个考核周期使用申请表》，报科研处认定备案后方可生效。</w:t>
      </w:r>
    </w:p>
    <w:p>
      <w:pPr>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（二）在每个考核年度的10月下旬，由科研处下发《科研工作考核通知》。</w:t>
      </w:r>
      <w:r>
        <w:rPr>
          <w:rFonts w:hint="eastAsia" w:ascii="仿宋" w:hAnsi="仿宋" w:eastAsia="仿宋" w:cs="仿宋"/>
          <w:b w:val="0"/>
          <w:bCs/>
          <w:color w:val="auto"/>
          <w:kern w:val="0"/>
          <w:sz w:val="30"/>
          <w:szCs w:val="30"/>
          <w:u w:val="none"/>
        </w:rPr>
        <w:t>被考核人员如实填写本人</w:t>
      </w:r>
      <w:r>
        <w:rPr>
          <w:rFonts w:hint="eastAsia" w:ascii="仿宋" w:hAnsi="仿宋" w:eastAsia="仿宋" w:cs="仿宋"/>
          <w:b w:val="0"/>
          <w:bCs/>
          <w:color w:val="auto"/>
          <w:kern w:val="0"/>
          <w:sz w:val="30"/>
          <w:szCs w:val="30"/>
          <w:u w:val="none"/>
          <w:lang w:eastAsia="zh-CN"/>
        </w:rPr>
        <w:t>当年</w:t>
      </w:r>
      <w:r>
        <w:rPr>
          <w:rFonts w:hint="eastAsia" w:ascii="仿宋" w:hAnsi="仿宋" w:eastAsia="仿宋" w:cs="仿宋"/>
          <w:b w:val="0"/>
          <w:bCs/>
          <w:color w:val="auto"/>
          <w:kern w:val="0"/>
          <w:sz w:val="30"/>
          <w:szCs w:val="30"/>
          <w:u w:val="none"/>
        </w:rPr>
        <w:t>1月1日至</w:t>
      </w:r>
      <w:r>
        <w:rPr>
          <w:rFonts w:hint="eastAsia" w:ascii="仿宋" w:hAnsi="仿宋" w:eastAsia="仿宋" w:cs="仿宋"/>
          <w:b w:val="0"/>
          <w:bCs/>
          <w:color w:val="auto"/>
          <w:kern w:val="0"/>
          <w:sz w:val="30"/>
          <w:szCs w:val="30"/>
          <w:u w:val="none"/>
          <w:lang w:eastAsia="zh-CN"/>
        </w:rPr>
        <w:t>当年</w:t>
      </w:r>
      <w:r>
        <w:rPr>
          <w:rFonts w:hint="eastAsia" w:ascii="仿宋" w:hAnsi="仿宋" w:eastAsia="仿宋" w:cs="仿宋"/>
          <w:b w:val="0"/>
          <w:bCs/>
          <w:color w:val="auto"/>
          <w:kern w:val="0"/>
          <w:sz w:val="30"/>
          <w:szCs w:val="30"/>
          <w:u w:val="none"/>
        </w:rPr>
        <w:t>12月31日的科研成果</w:t>
      </w:r>
      <w:r>
        <w:rPr>
          <w:rFonts w:hint="eastAsia" w:ascii="仿宋" w:hAnsi="仿宋" w:eastAsia="仿宋" w:cs="仿宋"/>
          <w:b w:val="0"/>
          <w:bCs/>
          <w:color w:val="auto"/>
          <w:kern w:val="0"/>
          <w:sz w:val="30"/>
          <w:szCs w:val="30"/>
          <w:u w:val="none"/>
          <w:lang w:eastAsia="zh-CN"/>
        </w:rPr>
        <w:t>，</w:t>
      </w:r>
      <w:r>
        <w:rPr>
          <w:rFonts w:hint="eastAsia" w:ascii="仿宋" w:hAnsi="仿宋" w:eastAsia="仿宋" w:cs="仿宋"/>
          <w:color w:val="auto"/>
          <w:kern w:val="0"/>
          <w:sz w:val="30"/>
          <w:szCs w:val="30"/>
          <w:u w:val="none"/>
        </w:rPr>
        <w:t>由各二级学院(研究院、司法所、部等)按规定统计科研分，科研处进行审核。</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rPr>
        <w:t>第七条</w:t>
      </w:r>
      <w:r>
        <w:rPr>
          <w:rFonts w:hint="eastAsia" w:ascii="黑体" w:hAnsi="黑体" w:eastAsia="黑体" w:cs="黑体"/>
          <w:b/>
          <w:bCs/>
          <w:color w:val="auto"/>
          <w:kern w:val="0"/>
          <w:sz w:val="30"/>
          <w:szCs w:val="30"/>
          <w:u w:val="none"/>
          <w:lang w:val="en-US" w:eastAsia="zh-CN"/>
        </w:rPr>
        <w:t xml:space="preserve">  </w:t>
      </w:r>
      <w:r>
        <w:rPr>
          <w:rFonts w:hint="eastAsia" w:ascii="黑体" w:hAnsi="黑体" w:eastAsia="黑体" w:cs="黑体"/>
          <w:b/>
          <w:bCs/>
          <w:color w:val="auto"/>
          <w:kern w:val="0"/>
          <w:sz w:val="30"/>
          <w:szCs w:val="30"/>
          <w:u w:val="none"/>
        </w:rPr>
        <w:t>著作类计分标准</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著作类科研成果计分的具体标准是：</w:t>
      </w:r>
    </w:p>
    <w:p>
      <w:pPr>
        <w:widowControl/>
        <w:ind w:firstLine="384"/>
        <w:jc w:val="left"/>
        <w:rPr>
          <w:rFonts w:hint="eastAsia" w:ascii="楷体" w:hAnsi="楷体" w:eastAsia="楷体" w:cs="楷体"/>
          <w:b/>
          <w:bCs/>
          <w:color w:val="auto"/>
          <w:kern w:val="0"/>
          <w:sz w:val="30"/>
          <w:szCs w:val="30"/>
          <w:u w:val="none"/>
        </w:rPr>
      </w:pPr>
      <w:r>
        <w:rPr>
          <w:rFonts w:hint="eastAsia" w:ascii="楷体" w:hAnsi="楷体" w:eastAsia="楷体" w:cs="楷体"/>
          <w:b/>
          <w:bCs/>
          <w:color w:val="auto"/>
          <w:kern w:val="0"/>
          <w:sz w:val="30"/>
          <w:szCs w:val="30"/>
          <w:u w:val="none"/>
        </w:rPr>
        <w:t>（一）学术专著</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1.个人独著的，按4分/千字计分。</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2.多人合著、未注明主编的学术专著计分标准为4分/千字；未标明作者撰稿量的，第一作者按总字数60％计算，其余的40％按照作者人数均分；已标明各作者撰稿量的，按作者的撰稿量计分。</w:t>
      </w:r>
    </w:p>
    <w:p>
      <w:pPr>
        <w:widowControl/>
        <w:ind w:firstLine="630" w:firstLineChars="21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3.多人合著注明主编的，按4分/千字的标准计算该书的总分后，提取5％为第一主编工作量，剩余的按作者的撰稿量分配。</w:t>
      </w:r>
    </w:p>
    <w:p>
      <w:pPr>
        <w:widowControl/>
        <w:ind w:firstLine="384"/>
        <w:jc w:val="left"/>
        <w:rPr>
          <w:rFonts w:hint="eastAsia" w:ascii="楷体" w:hAnsi="楷体" w:eastAsia="楷体" w:cs="楷体"/>
          <w:b/>
          <w:bCs/>
          <w:color w:val="auto"/>
          <w:kern w:val="0"/>
          <w:sz w:val="30"/>
          <w:szCs w:val="30"/>
          <w:u w:val="none"/>
        </w:rPr>
      </w:pPr>
      <w:r>
        <w:rPr>
          <w:rFonts w:hint="eastAsia" w:ascii="楷体" w:hAnsi="楷体" w:eastAsia="楷体" w:cs="楷体"/>
          <w:b/>
          <w:bCs/>
          <w:color w:val="auto"/>
          <w:kern w:val="0"/>
          <w:sz w:val="30"/>
          <w:szCs w:val="30"/>
          <w:u w:val="none"/>
        </w:rPr>
        <w:t>（二）编著、工具书、教材、译著等</w:t>
      </w:r>
    </w:p>
    <w:p>
      <w:pPr>
        <w:widowControl/>
        <w:ind w:firstLine="630" w:firstLineChars="21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1.个人独编的，按2分/千字计分。</w:t>
      </w:r>
    </w:p>
    <w:p>
      <w:pPr>
        <w:widowControl/>
        <w:ind w:firstLine="630" w:firstLineChars="21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2.多人合编、未注明主编但已标明各作者撰稿量的，按各作者的撰稿量2分/千字计分；未标明作者撰稿字数的，第一作者按总字数的60％计算，40％由其余各位作者均分。</w:t>
      </w:r>
    </w:p>
    <w:p>
      <w:pPr>
        <w:widowControl/>
        <w:ind w:firstLine="384"/>
        <w:jc w:val="left"/>
        <w:rPr>
          <w:rFonts w:hint="eastAsia" w:ascii="仿宋" w:hAnsi="仿宋" w:eastAsia="仿宋" w:cs="仿宋"/>
          <w:b w:val="0"/>
          <w:bCs w:val="0"/>
          <w:color w:val="auto"/>
          <w:kern w:val="0"/>
          <w:sz w:val="30"/>
          <w:szCs w:val="30"/>
          <w:u w:val="none"/>
        </w:rPr>
      </w:pPr>
      <w:r>
        <w:rPr>
          <w:rFonts w:hint="eastAsia" w:ascii="仿宋" w:hAnsi="仿宋" w:eastAsia="仿宋" w:cs="仿宋"/>
          <w:b w:val="0"/>
          <w:bCs w:val="0"/>
          <w:color w:val="auto"/>
          <w:kern w:val="0"/>
          <w:sz w:val="30"/>
          <w:szCs w:val="30"/>
          <w:u w:val="none"/>
        </w:rPr>
        <w:t>3.多人合编且注明主编的，按2分/千字的标准计算该书的总分后，提取5%为第一主编工作量，剩余的按注明的撰稿量分配。撰稿量分配未注明的，由主编分配工作量。</w:t>
      </w:r>
    </w:p>
    <w:p>
      <w:pPr>
        <w:widowControl/>
        <w:ind w:firstLine="600" w:firstLineChars="20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4.修订再版的教材由作者本人提供修订具体情况，经科研处审核后，按实际修订量统计。</w:t>
      </w:r>
    </w:p>
    <w:p>
      <w:pPr>
        <w:widowControl/>
        <w:ind w:firstLine="630" w:firstLineChars="210"/>
        <w:jc w:val="left"/>
        <w:rPr>
          <w:rFonts w:hint="eastAsia" w:ascii="仿宋" w:hAnsi="仿宋" w:eastAsia="仿宋" w:cs="仿宋"/>
          <w:color w:val="auto"/>
          <w:sz w:val="30"/>
          <w:szCs w:val="30"/>
          <w:u w:val="none"/>
        </w:rPr>
      </w:pPr>
      <w:r>
        <w:rPr>
          <w:rFonts w:hint="eastAsia" w:ascii="仿宋" w:hAnsi="仿宋" w:eastAsia="仿宋" w:cs="仿宋"/>
          <w:color w:val="auto"/>
          <w:kern w:val="0"/>
          <w:sz w:val="30"/>
          <w:szCs w:val="30"/>
          <w:u w:val="none"/>
        </w:rPr>
        <w:t>5.译著，按</w:t>
      </w:r>
      <w:r>
        <w:rPr>
          <w:rFonts w:hint="eastAsia" w:ascii="仿宋" w:hAnsi="仿宋" w:eastAsia="仿宋" w:cs="仿宋"/>
          <w:b/>
          <w:bCs/>
          <w:color w:val="auto"/>
          <w:kern w:val="0"/>
          <w:sz w:val="30"/>
          <w:szCs w:val="30"/>
          <w:u w:val="none"/>
          <w:lang w:val="en-US" w:eastAsia="zh-CN"/>
        </w:rPr>
        <w:t>2</w:t>
      </w:r>
      <w:r>
        <w:rPr>
          <w:rFonts w:hint="eastAsia" w:ascii="仿宋" w:hAnsi="仿宋" w:eastAsia="仿宋" w:cs="仿宋"/>
          <w:color w:val="auto"/>
          <w:kern w:val="0"/>
          <w:sz w:val="30"/>
          <w:szCs w:val="30"/>
          <w:u w:val="none"/>
        </w:rPr>
        <w:t>分/千字计分。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rPr>
        <w:t>第八条</w:t>
      </w:r>
      <w:r>
        <w:rPr>
          <w:rFonts w:hint="eastAsia" w:ascii="黑体" w:hAnsi="黑体" w:eastAsia="黑体" w:cs="黑体"/>
          <w:b/>
          <w:bCs/>
          <w:color w:val="auto"/>
          <w:kern w:val="0"/>
          <w:sz w:val="30"/>
          <w:szCs w:val="30"/>
          <w:u w:val="none"/>
          <w:lang w:val="en-US" w:eastAsia="zh-CN"/>
        </w:rPr>
        <w:t xml:space="preserve">  </w:t>
      </w:r>
      <w:r>
        <w:rPr>
          <w:rFonts w:hint="eastAsia" w:ascii="黑体" w:hAnsi="黑体" w:eastAsia="黑体" w:cs="黑体"/>
          <w:b/>
          <w:bCs/>
          <w:color w:val="auto"/>
          <w:kern w:val="0"/>
          <w:sz w:val="30"/>
          <w:szCs w:val="30"/>
          <w:u w:val="none"/>
        </w:rPr>
        <w:t>论文类计分标准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论文类科研成果计分的具体标准是：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（一）发表在《中国社会科学》、《中国科学》上的论文和被《新华文摘》全文转摘的论文：50分/千字。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（二）发表在重要核心期刊上的论文：30分/千字。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（三）发表在一般核心期刊上的论文：15分/千字。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（四）发表在虽属核心期刊，但系非正常刊期内的增刊、专刊、特刊等上的论文：4分/千字。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（五）一般期刊论文：10分/千字。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（六）属一般期刊，但系非正常刊期内的增刊、专刊、特刊等发表的论文：3分/千字。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（七）有省级出版局准印证的连续出版物：3分/千字。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（八）有书号正式出版的论文集收录的论文：5分/千字。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（九）两人以上合作的论文，第一署名人按总分的60％得分，剩余40%由其他署名人均分。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十）除被《新华文摘》、《中国社会科学文摘》、中国人民大学《报刊复印资料》、《高等学校文科学术文摘》和《报刊文摘》转载的文章、观点摘编外，在报刊上发表的报道、信息、随笔、游记或访谈、对话形式等文章，以及在报纸上发表的论文不满</w:t>
      </w:r>
      <w:r>
        <w:rPr>
          <w:rFonts w:hint="eastAsia" w:ascii="仿宋" w:hAnsi="仿宋" w:eastAsia="仿宋" w:cs="仿宋"/>
          <w:b w:val="0"/>
          <w:bCs w:val="0"/>
          <w:color w:val="auto"/>
          <w:kern w:val="0"/>
          <w:sz w:val="30"/>
          <w:szCs w:val="30"/>
          <w:u w:val="none"/>
          <w:lang w:val="en-US" w:eastAsia="zh-CN"/>
        </w:rPr>
        <w:t>1000字的</w:t>
      </w:r>
      <w:r>
        <w:rPr>
          <w:rFonts w:hint="eastAsia" w:ascii="仿宋" w:hAnsi="仿宋" w:eastAsia="仿宋" w:cs="仿宋"/>
          <w:color w:val="auto"/>
          <w:kern w:val="0"/>
          <w:sz w:val="30"/>
          <w:szCs w:val="30"/>
          <w:u w:val="none"/>
          <w:lang w:val="en-US" w:eastAsia="zh-CN"/>
        </w:rPr>
        <w:t>、在期刊（或论文集）上的论文不满3000字的，均不列入计分范围。</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rPr>
        <w:t>第九条</w:t>
      </w:r>
      <w:r>
        <w:rPr>
          <w:rFonts w:hint="eastAsia" w:ascii="黑体" w:hAnsi="黑体" w:eastAsia="黑体" w:cs="黑体"/>
          <w:b/>
          <w:bCs/>
          <w:color w:val="auto"/>
          <w:kern w:val="0"/>
          <w:sz w:val="30"/>
          <w:szCs w:val="30"/>
          <w:u w:val="none"/>
          <w:lang w:val="en-US" w:eastAsia="zh-CN"/>
        </w:rPr>
        <w:t xml:space="preserve">  </w:t>
      </w:r>
      <w:r>
        <w:rPr>
          <w:rFonts w:hint="eastAsia" w:ascii="黑体" w:hAnsi="黑体" w:eastAsia="黑体" w:cs="黑体"/>
          <w:b/>
          <w:bCs/>
          <w:color w:val="auto"/>
          <w:kern w:val="0"/>
          <w:sz w:val="30"/>
          <w:szCs w:val="30"/>
          <w:u w:val="none"/>
        </w:rPr>
        <w:t>课题类计分标准</w:t>
      </w:r>
    </w:p>
    <w:p>
      <w:pPr>
        <w:widowControl/>
        <w:ind w:firstLine="48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列入考核的课题必须事先经学校批准，课题经费进入学校计财处，并在科研处有申报材料备案。课题组成员必须是课题申请表中所列成员；非课题组成员不列入考核。</w:t>
      </w:r>
    </w:p>
    <w:p>
      <w:pPr>
        <w:widowControl/>
        <w:ind w:firstLine="384"/>
        <w:jc w:val="left"/>
        <w:rPr>
          <w:rFonts w:hint="eastAsia" w:ascii="楷体" w:hAnsi="楷体" w:eastAsia="楷体" w:cs="楷体"/>
          <w:b/>
          <w:bCs/>
          <w:color w:val="auto"/>
          <w:kern w:val="0"/>
          <w:sz w:val="30"/>
          <w:szCs w:val="30"/>
          <w:u w:val="none"/>
        </w:rPr>
      </w:pPr>
      <w:r>
        <w:rPr>
          <w:rFonts w:hint="eastAsia" w:ascii="楷体" w:hAnsi="楷体" w:eastAsia="楷体" w:cs="楷体"/>
          <w:b/>
          <w:bCs/>
          <w:color w:val="auto"/>
          <w:kern w:val="0"/>
          <w:sz w:val="30"/>
          <w:szCs w:val="30"/>
          <w:u w:val="none"/>
        </w:rPr>
        <w:t>（一）纵向课题</w:t>
      </w:r>
    </w:p>
    <w:p>
      <w:pPr>
        <w:widowControl/>
        <w:ind w:firstLine="480"/>
        <w:jc w:val="left"/>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1.国家级课题</w:t>
      </w:r>
    </w:p>
    <w:p>
      <w:pPr>
        <w:widowControl/>
        <w:ind w:firstLine="48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国家级重大课题按照600分计算，由课题组成员分配，人均不超过100分；课题主持人科研工作考核所应完成的科研分3年内免予考核。</w:t>
      </w:r>
    </w:p>
    <w:p>
      <w:pPr>
        <w:widowControl/>
        <w:ind w:firstLine="48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国家级重点课题按照400分计算，由课题组成员分配，人均不超过100分；课题主持人科研工作考核所应完成的科研分2年内免予考核。</w:t>
      </w:r>
    </w:p>
    <w:p>
      <w:pPr>
        <w:widowControl/>
        <w:ind w:firstLine="48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国家级一般课题按照300分计算，由课题组成员分配，人均不超过100分；课题主持人科研工作考核所应完成的科研分2年内免予考核。</w:t>
      </w:r>
    </w:p>
    <w:p>
      <w:pPr>
        <w:widowControl/>
        <w:ind w:firstLine="480"/>
        <w:jc w:val="left"/>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2.省部级课题</w:t>
      </w:r>
    </w:p>
    <w:p>
      <w:pPr>
        <w:widowControl/>
        <w:ind w:firstLine="48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省部级重点课题按照200分计算，由课题组成员分配，人均不超过100分；课题主持人科研工作考核所应完成的科研分2年内免予考核。</w:t>
      </w:r>
    </w:p>
    <w:p>
      <w:pPr>
        <w:widowControl/>
        <w:ind w:firstLine="48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省部级一般课题按照100分计算，由课题组成员均分；课题主持人科研工作考核所应完成的科研分1年内免予考核。</w:t>
      </w:r>
    </w:p>
    <w:p>
      <w:pPr>
        <w:widowControl/>
        <w:ind w:firstLine="480"/>
        <w:jc w:val="left"/>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0"/>
          <w:szCs w:val="30"/>
          <w:u w:val="none"/>
        </w:rPr>
        <w:t>3.</w:t>
      </w:r>
      <w:r>
        <w:rPr>
          <w:rFonts w:hint="eastAsia" w:ascii="仿宋" w:hAnsi="仿宋" w:eastAsia="仿宋" w:cs="仿宋"/>
          <w:b/>
          <w:bCs/>
          <w:color w:val="auto"/>
          <w:kern w:val="0"/>
          <w:sz w:val="30"/>
          <w:szCs w:val="30"/>
          <w:u w:val="none"/>
          <w:lang w:eastAsia="zh-CN"/>
        </w:rPr>
        <w:t>厅局级</w:t>
      </w:r>
      <w:r>
        <w:rPr>
          <w:rFonts w:hint="eastAsia" w:ascii="仿宋" w:hAnsi="仿宋" w:eastAsia="仿宋" w:cs="仿宋"/>
          <w:b/>
          <w:bCs/>
          <w:color w:val="auto"/>
          <w:kern w:val="0"/>
          <w:sz w:val="30"/>
          <w:szCs w:val="30"/>
          <w:u w:val="none"/>
        </w:rPr>
        <w:t>课题</w:t>
      </w:r>
    </w:p>
    <w:p>
      <w:pPr>
        <w:widowControl/>
        <w:ind w:firstLine="480"/>
        <w:jc w:val="left"/>
        <w:rPr>
          <w:rFonts w:hint="eastAsia" w:ascii="仿宋" w:hAnsi="仿宋" w:eastAsia="仿宋" w:cs="仿宋"/>
          <w:b w:val="0"/>
          <w:bCs w:val="0"/>
          <w:color w:val="auto"/>
          <w:kern w:val="0"/>
          <w:sz w:val="30"/>
          <w:szCs w:val="30"/>
          <w:u w:val="none"/>
        </w:rPr>
      </w:pPr>
      <w:r>
        <w:rPr>
          <w:rFonts w:hint="eastAsia" w:ascii="仿宋" w:hAnsi="仿宋" w:eastAsia="仿宋" w:cs="仿宋"/>
          <w:b w:val="0"/>
          <w:bCs w:val="0"/>
          <w:color w:val="auto"/>
          <w:kern w:val="0"/>
          <w:sz w:val="30"/>
          <w:szCs w:val="30"/>
          <w:u w:val="none"/>
          <w:lang w:eastAsia="zh-CN"/>
        </w:rPr>
        <w:t>厅局级</w:t>
      </w:r>
      <w:r>
        <w:rPr>
          <w:rFonts w:hint="eastAsia" w:ascii="仿宋" w:hAnsi="仿宋" w:eastAsia="仿宋" w:cs="仿宋"/>
          <w:b w:val="0"/>
          <w:bCs w:val="0"/>
          <w:color w:val="auto"/>
          <w:kern w:val="0"/>
          <w:sz w:val="30"/>
          <w:szCs w:val="30"/>
          <w:u w:val="none"/>
        </w:rPr>
        <w:t>课题是指上海市教委、</w:t>
      </w:r>
      <w:r>
        <w:rPr>
          <w:rFonts w:hint="eastAsia" w:ascii="仿宋" w:hAnsi="仿宋" w:eastAsia="仿宋" w:cs="仿宋"/>
          <w:b w:val="0"/>
          <w:bCs w:val="0"/>
          <w:color w:val="auto"/>
          <w:kern w:val="0"/>
          <w:sz w:val="30"/>
          <w:szCs w:val="30"/>
          <w:u w:val="none"/>
          <w:lang w:eastAsia="zh-CN"/>
        </w:rPr>
        <w:t>上海市</w:t>
      </w:r>
      <w:r>
        <w:rPr>
          <w:rFonts w:hint="eastAsia" w:ascii="仿宋" w:hAnsi="仿宋" w:eastAsia="仿宋" w:cs="仿宋"/>
          <w:b w:val="0"/>
          <w:bCs w:val="0"/>
          <w:color w:val="auto"/>
          <w:kern w:val="0"/>
          <w:sz w:val="30"/>
          <w:szCs w:val="30"/>
          <w:u w:val="none"/>
        </w:rPr>
        <w:t>法学会、</w:t>
      </w:r>
      <w:r>
        <w:rPr>
          <w:rFonts w:hint="eastAsia" w:ascii="仿宋" w:hAnsi="仿宋" w:eastAsia="仿宋" w:cs="仿宋"/>
          <w:b w:val="0"/>
          <w:bCs w:val="0"/>
          <w:color w:val="auto"/>
          <w:kern w:val="0"/>
          <w:sz w:val="30"/>
          <w:szCs w:val="30"/>
          <w:u w:val="none"/>
          <w:lang w:eastAsia="zh-CN"/>
        </w:rPr>
        <w:t>上海市</w:t>
      </w:r>
      <w:r>
        <w:rPr>
          <w:rFonts w:hint="eastAsia" w:ascii="仿宋" w:hAnsi="仿宋" w:eastAsia="仿宋" w:cs="仿宋"/>
          <w:b w:val="0"/>
          <w:bCs w:val="0"/>
          <w:color w:val="auto"/>
          <w:kern w:val="0"/>
          <w:sz w:val="30"/>
          <w:szCs w:val="30"/>
          <w:u w:val="none"/>
        </w:rPr>
        <w:t>体育局等单位发布的课题。</w:t>
      </w:r>
      <w:r>
        <w:rPr>
          <w:rFonts w:hint="eastAsia" w:ascii="仿宋" w:hAnsi="仿宋" w:eastAsia="仿宋" w:cs="仿宋"/>
          <w:b w:val="0"/>
          <w:bCs w:val="0"/>
          <w:color w:val="auto"/>
          <w:kern w:val="0"/>
          <w:sz w:val="30"/>
          <w:szCs w:val="30"/>
          <w:u w:val="none"/>
          <w:lang w:eastAsia="zh-CN"/>
        </w:rPr>
        <w:t>厅局级</w:t>
      </w:r>
      <w:r>
        <w:rPr>
          <w:rFonts w:hint="eastAsia" w:ascii="仿宋" w:hAnsi="仿宋" w:eastAsia="仿宋" w:cs="仿宋"/>
          <w:b w:val="0"/>
          <w:bCs w:val="0"/>
          <w:color w:val="auto"/>
          <w:kern w:val="0"/>
          <w:sz w:val="30"/>
          <w:szCs w:val="30"/>
          <w:u w:val="none"/>
        </w:rPr>
        <w:t>课题重点项目按照100分</w:t>
      </w:r>
      <w:r>
        <w:rPr>
          <w:rFonts w:hint="eastAsia" w:ascii="仿宋" w:hAnsi="仿宋" w:eastAsia="仿宋" w:cs="仿宋"/>
          <w:b w:val="0"/>
          <w:bCs w:val="0"/>
          <w:color w:val="auto"/>
          <w:kern w:val="0"/>
          <w:sz w:val="30"/>
          <w:szCs w:val="30"/>
          <w:u w:val="none"/>
          <w:lang w:val="en-US" w:eastAsia="zh-CN"/>
        </w:rPr>
        <w:t>/项</w:t>
      </w:r>
      <w:r>
        <w:rPr>
          <w:rFonts w:hint="eastAsia" w:ascii="仿宋" w:hAnsi="仿宋" w:eastAsia="仿宋" w:cs="仿宋"/>
          <w:b w:val="0"/>
          <w:bCs w:val="0"/>
          <w:color w:val="auto"/>
          <w:kern w:val="0"/>
          <w:sz w:val="30"/>
          <w:szCs w:val="30"/>
          <w:u w:val="none"/>
        </w:rPr>
        <w:t>计算，由课题组成员均分；课题主持人科研工作考核所应完成的科研分1年内免予考核。</w:t>
      </w:r>
      <w:r>
        <w:rPr>
          <w:rFonts w:hint="eastAsia" w:ascii="仿宋" w:hAnsi="仿宋" w:eastAsia="仿宋" w:cs="仿宋"/>
          <w:b w:val="0"/>
          <w:bCs w:val="0"/>
          <w:color w:val="auto"/>
          <w:kern w:val="0"/>
          <w:sz w:val="30"/>
          <w:szCs w:val="30"/>
          <w:u w:val="none"/>
          <w:lang w:eastAsia="zh-CN"/>
        </w:rPr>
        <w:t>厅局级</w:t>
      </w:r>
      <w:r>
        <w:rPr>
          <w:rFonts w:hint="eastAsia" w:ascii="仿宋" w:hAnsi="仿宋" w:eastAsia="仿宋" w:cs="仿宋"/>
          <w:b w:val="0"/>
          <w:bCs w:val="0"/>
          <w:color w:val="auto"/>
          <w:kern w:val="0"/>
          <w:sz w:val="30"/>
          <w:szCs w:val="30"/>
          <w:u w:val="none"/>
        </w:rPr>
        <w:t>课题一般项目、青年项目按照80分</w:t>
      </w:r>
      <w:r>
        <w:rPr>
          <w:rFonts w:hint="eastAsia" w:ascii="仿宋" w:hAnsi="仿宋" w:eastAsia="仿宋" w:cs="仿宋"/>
          <w:b w:val="0"/>
          <w:bCs w:val="0"/>
          <w:color w:val="auto"/>
          <w:kern w:val="0"/>
          <w:sz w:val="30"/>
          <w:szCs w:val="30"/>
          <w:u w:val="none"/>
          <w:lang w:val="en-US" w:eastAsia="zh-CN"/>
        </w:rPr>
        <w:t>/项</w:t>
      </w:r>
      <w:r>
        <w:rPr>
          <w:rFonts w:hint="eastAsia" w:ascii="仿宋" w:hAnsi="仿宋" w:eastAsia="仿宋" w:cs="仿宋"/>
          <w:b w:val="0"/>
          <w:bCs w:val="0"/>
          <w:color w:val="auto"/>
          <w:kern w:val="0"/>
          <w:sz w:val="30"/>
          <w:szCs w:val="30"/>
          <w:u w:val="none"/>
        </w:rPr>
        <w:t>计算。</w:t>
      </w:r>
    </w:p>
    <w:p>
      <w:pPr>
        <w:widowControl/>
        <w:ind w:firstLine="48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以上纵向课题相关计分规定，在课题规定结项期限内有效。</w:t>
      </w:r>
    </w:p>
    <w:p>
      <w:pPr>
        <w:widowControl/>
        <w:ind w:firstLine="384"/>
        <w:jc w:val="left"/>
        <w:rPr>
          <w:rFonts w:hint="eastAsia" w:ascii="楷体" w:hAnsi="楷体" w:eastAsia="楷体" w:cs="楷体"/>
          <w:b/>
          <w:bCs/>
          <w:color w:val="auto"/>
          <w:kern w:val="0"/>
          <w:sz w:val="30"/>
          <w:szCs w:val="30"/>
          <w:u w:val="none"/>
        </w:rPr>
      </w:pPr>
      <w:r>
        <w:rPr>
          <w:rFonts w:hint="eastAsia" w:ascii="楷体" w:hAnsi="楷体" w:eastAsia="楷体" w:cs="楷体"/>
          <w:b/>
          <w:bCs/>
          <w:color w:val="auto"/>
          <w:kern w:val="0"/>
          <w:sz w:val="30"/>
          <w:szCs w:val="30"/>
          <w:u w:val="none"/>
        </w:rPr>
        <w:t>（二）横向课题</w:t>
      </w:r>
    </w:p>
    <w:p>
      <w:pPr>
        <w:widowControl/>
        <w:ind w:firstLine="48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经费为5万元以下的，一项按照20分计算；经费为5-8万元的，一项按照40分计算；经费为8-11万元的，一项按照60分计算；经费为11-15万元的，一项按照80分计算；经费为15万元以上的，一项按130分计算。</w:t>
      </w:r>
    </w:p>
    <w:p>
      <w:pPr>
        <w:widowControl/>
        <w:ind w:firstLine="384"/>
        <w:jc w:val="left"/>
        <w:rPr>
          <w:rFonts w:hint="eastAsia" w:ascii="楷体" w:hAnsi="楷体" w:eastAsia="楷体" w:cs="楷体"/>
          <w:b/>
          <w:bCs/>
          <w:color w:val="auto"/>
          <w:kern w:val="0"/>
          <w:sz w:val="30"/>
          <w:szCs w:val="30"/>
          <w:u w:val="none"/>
        </w:rPr>
      </w:pPr>
      <w:r>
        <w:rPr>
          <w:rFonts w:hint="eastAsia" w:ascii="楷体" w:hAnsi="楷体" w:eastAsia="楷体" w:cs="楷体"/>
          <w:b/>
          <w:bCs/>
          <w:color w:val="auto"/>
          <w:kern w:val="0"/>
          <w:sz w:val="30"/>
          <w:szCs w:val="30"/>
          <w:u w:val="none"/>
        </w:rPr>
        <w:t>（三）校级课题</w:t>
      </w:r>
    </w:p>
    <w:p>
      <w:pPr>
        <w:widowControl/>
        <w:ind w:firstLine="48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一项按照30分计算。课题在立项时按照总分的50％计分；批准结项时按照总分的50％计分。以“不合格”终结的项目不再计结项分。</w:t>
      </w:r>
    </w:p>
    <w:p>
      <w:pPr>
        <w:widowControl/>
        <w:ind w:firstLine="480"/>
        <w:jc w:val="left"/>
        <w:rPr>
          <w:rFonts w:hint="eastAsia" w:ascii="仿宋" w:hAnsi="仿宋" w:eastAsia="仿宋" w:cs="仿宋"/>
          <w:color w:val="auto"/>
          <w:sz w:val="30"/>
          <w:szCs w:val="30"/>
          <w:u w:val="none"/>
        </w:rPr>
      </w:pPr>
      <w:r>
        <w:rPr>
          <w:rFonts w:hint="eastAsia" w:ascii="仿宋" w:hAnsi="仿宋" w:eastAsia="仿宋" w:cs="仿宋"/>
          <w:color w:val="auto"/>
          <w:kern w:val="0"/>
          <w:sz w:val="30"/>
          <w:szCs w:val="30"/>
          <w:u w:val="none"/>
        </w:rPr>
        <w:t>课题组成员得分由课题组长分配，并以书面形式交科研处备案。</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rPr>
        <w:t>第十条</w:t>
      </w:r>
      <w:r>
        <w:rPr>
          <w:rFonts w:hint="eastAsia" w:ascii="黑体" w:hAnsi="黑体" w:eastAsia="黑体" w:cs="黑体"/>
          <w:b/>
          <w:bCs/>
          <w:color w:val="auto"/>
          <w:kern w:val="0"/>
          <w:sz w:val="30"/>
          <w:szCs w:val="30"/>
          <w:u w:val="none"/>
          <w:lang w:val="en-US" w:eastAsia="zh-CN"/>
        </w:rPr>
        <w:t xml:space="preserve">  </w:t>
      </w:r>
      <w:r>
        <w:rPr>
          <w:rFonts w:hint="eastAsia" w:ascii="黑体" w:hAnsi="黑体" w:eastAsia="黑体" w:cs="黑体"/>
          <w:b/>
          <w:bCs/>
          <w:color w:val="auto"/>
          <w:kern w:val="0"/>
          <w:sz w:val="30"/>
          <w:szCs w:val="30"/>
          <w:u w:val="none"/>
        </w:rPr>
        <w:t>报纸类计分标准</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发表在报纸理论版上的学术论文的计分标准：</w:t>
      </w:r>
    </w:p>
    <w:p>
      <w:pPr>
        <w:widowControl/>
        <w:ind w:firstLine="360"/>
        <w:jc w:val="left"/>
        <w:rPr>
          <w:rFonts w:hint="eastAsia" w:ascii="仿宋" w:hAnsi="仿宋" w:eastAsia="仿宋" w:cs="仿宋"/>
          <w:color w:val="auto"/>
          <w:kern w:val="0"/>
          <w:sz w:val="30"/>
          <w:szCs w:val="30"/>
          <w:u w:val="none"/>
        </w:rPr>
      </w:pPr>
      <w:r>
        <w:rPr>
          <w:rFonts w:hint="eastAsia" w:ascii="楷体" w:hAnsi="楷体" w:eastAsia="楷体" w:cs="楷体"/>
          <w:b/>
          <w:bCs/>
          <w:color w:val="auto"/>
          <w:kern w:val="0"/>
          <w:sz w:val="30"/>
          <w:szCs w:val="30"/>
          <w:u w:val="none"/>
        </w:rPr>
        <w:t>（一）重要报纸：</w:t>
      </w:r>
      <w:r>
        <w:rPr>
          <w:rFonts w:hint="eastAsia" w:ascii="仿宋" w:hAnsi="仿宋" w:eastAsia="仿宋" w:cs="仿宋"/>
          <w:color w:val="auto"/>
          <w:kern w:val="0"/>
          <w:sz w:val="30"/>
          <w:szCs w:val="30"/>
          <w:u w:val="none"/>
        </w:rPr>
        <w:t>30分/千字。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1.《人民日报》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2.《光明日报》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3.《法制日报》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b w:val="0"/>
          <w:bCs w:val="0"/>
          <w:color w:val="auto"/>
          <w:kern w:val="0"/>
          <w:sz w:val="30"/>
          <w:szCs w:val="30"/>
          <w:u w:val="none"/>
        </w:rPr>
      </w:pPr>
      <w:r>
        <w:rPr>
          <w:rFonts w:hint="eastAsia" w:ascii="仿宋" w:hAnsi="仿宋" w:eastAsia="仿宋" w:cs="仿宋"/>
          <w:b w:val="0"/>
          <w:bCs w:val="0"/>
          <w:color w:val="auto"/>
          <w:kern w:val="0"/>
          <w:sz w:val="30"/>
          <w:szCs w:val="30"/>
          <w:u w:val="none"/>
        </w:rPr>
        <w:t>4.《</w:t>
      </w:r>
      <w:r>
        <w:rPr>
          <w:rFonts w:hint="eastAsia" w:ascii="仿宋" w:hAnsi="仿宋" w:eastAsia="仿宋" w:cs="仿宋"/>
          <w:b w:val="0"/>
          <w:bCs w:val="0"/>
          <w:color w:val="auto"/>
          <w:kern w:val="0"/>
          <w:sz w:val="30"/>
          <w:szCs w:val="30"/>
          <w:u w:val="none"/>
          <w:lang w:eastAsia="zh-CN"/>
        </w:rPr>
        <w:t>中国社会科学报</w:t>
      </w:r>
      <w:r>
        <w:rPr>
          <w:rFonts w:hint="eastAsia" w:ascii="仿宋" w:hAnsi="仿宋" w:eastAsia="仿宋" w:cs="仿宋"/>
          <w:b w:val="0"/>
          <w:bCs w:val="0"/>
          <w:color w:val="auto"/>
          <w:kern w:val="0"/>
          <w:sz w:val="30"/>
          <w:szCs w:val="30"/>
          <w:u w:val="none"/>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5.《中国教育报》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6.《文汇报》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7.《解放日报》</w:t>
      </w:r>
    </w:p>
    <w:p>
      <w:pPr>
        <w:widowControl/>
        <w:ind w:firstLine="360"/>
        <w:jc w:val="left"/>
        <w:rPr>
          <w:rFonts w:hint="eastAsia" w:ascii="仿宋" w:hAnsi="仿宋" w:eastAsia="仿宋" w:cs="仿宋"/>
          <w:color w:val="auto"/>
          <w:kern w:val="0"/>
          <w:sz w:val="30"/>
          <w:szCs w:val="30"/>
          <w:u w:val="none"/>
          <w:lang w:eastAsia="zh-CN"/>
        </w:rPr>
      </w:pPr>
      <w:r>
        <w:rPr>
          <w:rFonts w:hint="eastAsia" w:ascii="楷体" w:hAnsi="楷体" w:eastAsia="楷体" w:cs="楷体"/>
          <w:b/>
          <w:bCs/>
          <w:color w:val="auto"/>
          <w:kern w:val="0"/>
          <w:sz w:val="30"/>
          <w:szCs w:val="30"/>
          <w:u w:val="none"/>
          <w:lang w:eastAsia="zh-CN"/>
        </w:rPr>
        <w:t>（二）一般报纸</w:t>
      </w:r>
      <w:r>
        <w:rPr>
          <w:rFonts w:hint="eastAsia" w:ascii="楷体" w:hAnsi="楷体" w:eastAsia="楷体" w:cs="楷体"/>
          <w:b/>
          <w:bCs/>
          <w:color w:val="auto"/>
          <w:kern w:val="0"/>
          <w:sz w:val="30"/>
          <w:szCs w:val="30"/>
          <w:u w:val="none"/>
        </w:rPr>
        <w:t>：</w:t>
      </w:r>
      <w:r>
        <w:rPr>
          <w:rFonts w:hint="eastAsia" w:ascii="仿宋" w:hAnsi="仿宋" w:eastAsia="仿宋" w:cs="仿宋"/>
          <w:color w:val="auto"/>
          <w:kern w:val="0"/>
          <w:sz w:val="30"/>
          <w:szCs w:val="30"/>
          <w:u w:val="none"/>
        </w:rPr>
        <w:t>15分/千字。</w:t>
      </w:r>
    </w:p>
    <w:p>
      <w:pPr>
        <w:widowControl/>
        <w:numPr>
          <w:ilvl w:val="0"/>
          <w:numId w:val="0"/>
        </w:numPr>
        <w:ind w:firstLine="600" w:firstLineChars="200"/>
        <w:jc w:val="left"/>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1.《人民法院报》</w:t>
      </w:r>
    </w:p>
    <w:p>
      <w:pPr>
        <w:widowControl/>
        <w:numPr>
          <w:ilvl w:val="0"/>
          <w:numId w:val="0"/>
        </w:numPr>
        <w:ind w:firstLine="600" w:firstLineChars="200"/>
        <w:jc w:val="left"/>
        <w:rPr>
          <w:rFonts w:hint="eastAsia" w:ascii="仿宋" w:hAnsi="仿宋" w:eastAsia="仿宋" w:cs="仿宋"/>
          <w:color w:val="auto"/>
          <w:kern w:val="0"/>
          <w:sz w:val="30"/>
          <w:szCs w:val="30"/>
          <w:u w:val="none"/>
          <w:lang w:val="en-US" w:eastAsia="zh-CN"/>
        </w:rPr>
      </w:pPr>
      <w:r>
        <w:rPr>
          <w:rFonts w:hint="eastAsia" w:ascii="仿宋" w:hAnsi="仿宋" w:eastAsia="仿宋" w:cs="仿宋"/>
          <w:color w:val="auto"/>
          <w:kern w:val="0"/>
          <w:sz w:val="30"/>
          <w:szCs w:val="30"/>
          <w:u w:val="none"/>
          <w:lang w:val="en-US" w:eastAsia="zh-CN"/>
        </w:rPr>
        <w:t>2.《检察日报》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rPr>
        <w:t>第十一条</w:t>
      </w:r>
      <w:r>
        <w:rPr>
          <w:rFonts w:hint="eastAsia" w:ascii="黑体" w:hAnsi="黑体" w:eastAsia="黑体" w:cs="黑体"/>
          <w:b/>
          <w:bCs/>
          <w:color w:val="auto"/>
          <w:kern w:val="0"/>
          <w:sz w:val="30"/>
          <w:szCs w:val="30"/>
          <w:u w:val="none"/>
          <w:lang w:val="en-US" w:eastAsia="zh-CN"/>
        </w:rPr>
        <w:t xml:space="preserve">  </w:t>
      </w:r>
      <w:r>
        <w:rPr>
          <w:rFonts w:hint="eastAsia" w:ascii="黑体" w:hAnsi="黑体" w:eastAsia="黑体" w:cs="黑体"/>
          <w:b/>
          <w:bCs/>
          <w:color w:val="auto"/>
          <w:kern w:val="0"/>
          <w:sz w:val="30"/>
          <w:szCs w:val="30"/>
          <w:u w:val="none"/>
        </w:rPr>
        <w:t>内参类计分标准</w:t>
      </w:r>
    </w:p>
    <w:p>
      <w:pPr>
        <w:widowControl/>
        <w:ind w:firstLine="600" w:firstLineChars="200"/>
        <w:jc w:val="left"/>
        <w:rPr>
          <w:rFonts w:hint="eastAsia" w:ascii="仿宋" w:hAnsi="仿宋" w:eastAsia="仿宋" w:cs="仿宋"/>
          <w:b w:val="0"/>
          <w:bCs/>
          <w:color w:val="auto"/>
          <w:sz w:val="30"/>
          <w:szCs w:val="30"/>
          <w:u w:val="none"/>
        </w:rPr>
      </w:pPr>
      <w:r>
        <w:rPr>
          <w:rFonts w:hint="eastAsia" w:ascii="仿宋" w:hAnsi="仿宋" w:eastAsia="仿宋" w:cs="仿宋"/>
          <w:b w:val="0"/>
          <w:bCs/>
          <w:color w:val="auto"/>
          <w:kern w:val="0"/>
          <w:sz w:val="30"/>
          <w:szCs w:val="30"/>
          <w:u w:val="none"/>
        </w:rPr>
        <w:t>决策咨询报告</w:t>
      </w:r>
      <w:r>
        <w:rPr>
          <w:rFonts w:hint="eastAsia" w:ascii="仿宋" w:hAnsi="仿宋" w:eastAsia="仿宋" w:cs="仿宋"/>
          <w:color w:val="auto"/>
          <w:kern w:val="0"/>
          <w:sz w:val="30"/>
          <w:szCs w:val="30"/>
          <w:u w:val="none"/>
          <w:lang w:eastAsia="zh-CN"/>
        </w:rPr>
        <w:t>被国办、中办单篇录用的，</w:t>
      </w:r>
      <w:r>
        <w:rPr>
          <w:rFonts w:hint="eastAsia" w:ascii="仿宋" w:hAnsi="仿宋" w:eastAsia="仿宋" w:cs="仿宋"/>
          <w:color w:val="auto"/>
          <w:kern w:val="0"/>
          <w:sz w:val="30"/>
          <w:szCs w:val="30"/>
          <w:u w:val="none"/>
          <w:lang w:val="en-US" w:eastAsia="zh-CN"/>
        </w:rPr>
        <w:t>10分/篇，</w:t>
      </w:r>
      <w:r>
        <w:rPr>
          <w:rFonts w:hint="eastAsia" w:ascii="仿宋" w:hAnsi="仿宋" w:eastAsia="仿宋" w:cs="仿宋"/>
          <w:color w:val="auto"/>
          <w:kern w:val="0"/>
          <w:sz w:val="30"/>
          <w:szCs w:val="30"/>
          <w:u w:val="none"/>
        </w:rPr>
        <w:t>在国家各部委、省级报刊内参上发表文章</w:t>
      </w:r>
      <w:r>
        <w:rPr>
          <w:rFonts w:hint="eastAsia" w:ascii="仿宋" w:hAnsi="仿宋" w:eastAsia="仿宋" w:cs="仿宋"/>
          <w:b w:val="0"/>
          <w:bCs/>
          <w:color w:val="auto"/>
          <w:kern w:val="0"/>
          <w:sz w:val="30"/>
          <w:szCs w:val="30"/>
          <w:u w:val="none"/>
          <w:lang w:eastAsia="zh-CN"/>
        </w:rPr>
        <w:t>、</w:t>
      </w:r>
      <w:r>
        <w:rPr>
          <w:rFonts w:hint="eastAsia" w:ascii="仿宋" w:hAnsi="仿宋" w:eastAsia="仿宋" w:cs="仿宋"/>
          <w:b w:val="0"/>
          <w:bCs/>
          <w:color w:val="auto"/>
          <w:kern w:val="0"/>
          <w:sz w:val="30"/>
          <w:szCs w:val="30"/>
          <w:u w:val="none"/>
        </w:rPr>
        <w:t>决策咨询报告</w:t>
      </w:r>
      <w:r>
        <w:rPr>
          <w:rFonts w:hint="eastAsia" w:ascii="仿宋" w:hAnsi="仿宋" w:eastAsia="仿宋" w:cs="仿宋"/>
          <w:b w:val="0"/>
          <w:bCs/>
          <w:color w:val="auto"/>
          <w:kern w:val="0"/>
          <w:sz w:val="30"/>
          <w:szCs w:val="30"/>
          <w:u w:val="none"/>
          <w:lang w:eastAsia="zh-CN"/>
        </w:rPr>
        <w:t>被</w:t>
      </w:r>
      <w:r>
        <w:rPr>
          <w:rFonts w:hint="eastAsia" w:ascii="仿宋" w:hAnsi="仿宋" w:eastAsia="仿宋" w:cs="仿宋"/>
          <w:b w:val="0"/>
          <w:bCs/>
          <w:color w:val="auto"/>
          <w:kern w:val="0"/>
          <w:sz w:val="30"/>
          <w:szCs w:val="30"/>
          <w:u w:val="none"/>
        </w:rPr>
        <w:t>省部级领导的，</w:t>
      </w:r>
      <w:r>
        <w:rPr>
          <w:rFonts w:hint="eastAsia" w:ascii="仿宋" w:hAnsi="仿宋" w:eastAsia="仿宋" w:cs="仿宋"/>
          <w:b w:val="0"/>
          <w:bCs/>
          <w:color w:val="auto"/>
          <w:kern w:val="0"/>
          <w:sz w:val="30"/>
          <w:szCs w:val="30"/>
          <w:u w:val="none"/>
          <w:lang w:val="en-US" w:eastAsia="zh-CN"/>
        </w:rPr>
        <w:t>30</w:t>
      </w:r>
      <w:r>
        <w:rPr>
          <w:rFonts w:hint="eastAsia" w:ascii="仿宋" w:hAnsi="仿宋" w:eastAsia="仿宋" w:cs="仿宋"/>
          <w:b w:val="0"/>
          <w:bCs/>
          <w:color w:val="auto"/>
          <w:kern w:val="0"/>
          <w:sz w:val="30"/>
          <w:szCs w:val="30"/>
          <w:u w:val="none"/>
        </w:rPr>
        <w:t>分/</w:t>
      </w:r>
      <w:r>
        <w:rPr>
          <w:rFonts w:hint="eastAsia" w:ascii="仿宋" w:hAnsi="仿宋" w:eastAsia="仿宋" w:cs="仿宋"/>
          <w:b w:val="0"/>
          <w:bCs/>
          <w:color w:val="auto"/>
          <w:kern w:val="0"/>
          <w:sz w:val="30"/>
          <w:szCs w:val="30"/>
          <w:u w:val="none"/>
          <w:lang w:eastAsia="zh-CN"/>
        </w:rPr>
        <w:t>篇</w:t>
      </w:r>
      <w:r>
        <w:rPr>
          <w:rFonts w:hint="eastAsia" w:ascii="仿宋" w:hAnsi="仿宋" w:eastAsia="仿宋" w:cs="仿宋"/>
          <w:b w:val="0"/>
          <w:bCs/>
          <w:color w:val="auto"/>
          <w:kern w:val="0"/>
          <w:sz w:val="30"/>
          <w:szCs w:val="30"/>
          <w:u w:val="none"/>
        </w:rPr>
        <w:t>，</w:t>
      </w:r>
      <w:r>
        <w:rPr>
          <w:rFonts w:hint="eastAsia" w:ascii="仿宋" w:hAnsi="仿宋" w:eastAsia="仿宋" w:cs="仿宋"/>
          <w:color w:val="auto"/>
          <w:kern w:val="0"/>
          <w:sz w:val="30"/>
          <w:szCs w:val="30"/>
          <w:u w:val="none"/>
        </w:rPr>
        <w:t>人民日报社《内参》、新华社《内参》上发表的文章</w:t>
      </w:r>
      <w:r>
        <w:rPr>
          <w:rFonts w:hint="eastAsia" w:ascii="仿宋" w:hAnsi="仿宋" w:eastAsia="仿宋" w:cs="仿宋"/>
          <w:b w:val="0"/>
          <w:bCs/>
          <w:color w:val="auto"/>
          <w:kern w:val="0"/>
          <w:sz w:val="30"/>
          <w:szCs w:val="30"/>
          <w:u w:val="none"/>
          <w:lang w:eastAsia="zh-CN"/>
        </w:rPr>
        <w:t>、</w:t>
      </w:r>
      <w:r>
        <w:rPr>
          <w:rFonts w:hint="eastAsia" w:ascii="仿宋" w:hAnsi="仿宋" w:eastAsia="仿宋" w:cs="仿宋"/>
          <w:b w:val="0"/>
          <w:bCs/>
          <w:color w:val="auto"/>
          <w:kern w:val="0"/>
          <w:sz w:val="30"/>
          <w:szCs w:val="30"/>
          <w:u w:val="none"/>
        </w:rPr>
        <w:t>决策咨询报告被国家级领导的，</w:t>
      </w:r>
      <w:r>
        <w:rPr>
          <w:rFonts w:hint="eastAsia" w:ascii="仿宋" w:hAnsi="仿宋" w:eastAsia="仿宋" w:cs="仿宋"/>
          <w:b w:val="0"/>
          <w:bCs/>
          <w:color w:val="auto"/>
          <w:kern w:val="0"/>
          <w:sz w:val="30"/>
          <w:szCs w:val="30"/>
          <w:u w:val="none"/>
          <w:lang w:val="en-US" w:eastAsia="zh-CN"/>
        </w:rPr>
        <w:t>50</w:t>
      </w:r>
      <w:r>
        <w:rPr>
          <w:rFonts w:hint="eastAsia" w:ascii="仿宋" w:hAnsi="仿宋" w:eastAsia="仿宋" w:cs="仿宋"/>
          <w:b w:val="0"/>
          <w:bCs/>
          <w:color w:val="auto"/>
          <w:kern w:val="0"/>
          <w:sz w:val="30"/>
          <w:szCs w:val="30"/>
          <w:u w:val="none"/>
        </w:rPr>
        <w:t>分/</w:t>
      </w:r>
      <w:r>
        <w:rPr>
          <w:rFonts w:hint="eastAsia" w:ascii="仿宋" w:hAnsi="仿宋" w:eastAsia="仿宋" w:cs="仿宋"/>
          <w:b w:val="0"/>
          <w:bCs/>
          <w:color w:val="auto"/>
          <w:kern w:val="0"/>
          <w:sz w:val="30"/>
          <w:szCs w:val="30"/>
          <w:u w:val="none"/>
          <w:lang w:eastAsia="zh-CN"/>
        </w:rPr>
        <w:t>篇</w:t>
      </w:r>
      <w:r>
        <w:rPr>
          <w:rFonts w:hint="eastAsia" w:ascii="仿宋" w:hAnsi="仿宋" w:eastAsia="仿宋" w:cs="仿宋"/>
          <w:b w:val="0"/>
          <w:bCs/>
          <w:color w:val="auto"/>
          <w:kern w:val="0"/>
          <w:sz w:val="30"/>
          <w:szCs w:val="30"/>
          <w:u w:val="none"/>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rPr>
        <w:t>第十二条</w:t>
      </w:r>
      <w:r>
        <w:rPr>
          <w:rFonts w:hint="eastAsia" w:ascii="黑体" w:hAnsi="黑体" w:eastAsia="黑体" w:cs="黑体"/>
          <w:b/>
          <w:bCs/>
          <w:color w:val="auto"/>
          <w:kern w:val="0"/>
          <w:sz w:val="30"/>
          <w:szCs w:val="30"/>
          <w:u w:val="none"/>
          <w:lang w:val="en-US" w:eastAsia="zh-CN"/>
        </w:rPr>
        <w:t xml:space="preserve">  </w:t>
      </w:r>
      <w:r>
        <w:rPr>
          <w:rFonts w:hint="eastAsia" w:ascii="黑体" w:hAnsi="黑体" w:eastAsia="黑体" w:cs="黑体"/>
          <w:b/>
          <w:bCs/>
          <w:color w:val="auto"/>
          <w:kern w:val="0"/>
          <w:sz w:val="30"/>
          <w:szCs w:val="30"/>
          <w:u w:val="none"/>
        </w:rPr>
        <w:t>发表在国外、境外的成果计分</w:t>
      </w:r>
    </w:p>
    <w:p>
      <w:pPr>
        <w:widowControl/>
        <w:ind w:firstLine="384"/>
        <w:jc w:val="left"/>
        <w:rPr>
          <w:rFonts w:hint="eastAsia" w:ascii="仿宋" w:hAnsi="仿宋" w:eastAsia="仿宋" w:cs="仿宋"/>
          <w:color w:val="auto"/>
          <w:sz w:val="30"/>
          <w:szCs w:val="30"/>
          <w:u w:val="none"/>
        </w:rPr>
      </w:pPr>
      <w:r>
        <w:rPr>
          <w:rFonts w:hint="eastAsia" w:ascii="仿宋" w:hAnsi="仿宋" w:eastAsia="仿宋" w:cs="仿宋"/>
          <w:color w:val="auto"/>
          <w:kern w:val="0"/>
          <w:sz w:val="30"/>
          <w:szCs w:val="30"/>
          <w:u w:val="none"/>
        </w:rPr>
        <w:t>发表在国外、境外的著作及学术论文等科研成果，根据被考核人员提供的由上海图书馆上海科学技术情报研究所出具的图书情报检索数据信息证明，按照境内相应类型同档次期刊分值的130％计分。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rPr>
        <w:t>第十三条</w:t>
      </w:r>
      <w:r>
        <w:rPr>
          <w:rFonts w:hint="eastAsia" w:ascii="黑体" w:hAnsi="黑体" w:eastAsia="黑体" w:cs="黑体"/>
          <w:b/>
          <w:bCs/>
          <w:color w:val="auto"/>
          <w:kern w:val="0"/>
          <w:sz w:val="30"/>
          <w:szCs w:val="30"/>
          <w:u w:val="none"/>
          <w:lang w:val="en-US" w:eastAsia="zh-CN"/>
        </w:rPr>
        <w:t xml:space="preserve"> </w:t>
      </w:r>
      <w:r>
        <w:rPr>
          <w:rFonts w:hint="eastAsia" w:ascii="黑体" w:hAnsi="黑体" w:eastAsia="黑体" w:cs="黑体"/>
          <w:b/>
          <w:bCs/>
          <w:color w:val="auto"/>
          <w:kern w:val="0"/>
          <w:sz w:val="30"/>
          <w:szCs w:val="30"/>
          <w:u w:val="none"/>
        </w:rPr>
        <w:t>先发论文与后出专著的计分</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先发论文与后出专著的计分</w:t>
      </w:r>
    </w:p>
    <w:p>
      <w:pPr>
        <w:widowControl/>
        <w:ind w:firstLine="384"/>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发表的论文与出版的专著、课题研究报告属同一内容的，不影响分别计分。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rPr>
        <w:t>第十四条</w:t>
      </w:r>
      <w:r>
        <w:rPr>
          <w:rFonts w:hint="eastAsia" w:ascii="黑体" w:hAnsi="黑体" w:eastAsia="黑体" w:cs="黑体"/>
          <w:b/>
          <w:bCs/>
          <w:color w:val="auto"/>
          <w:kern w:val="0"/>
          <w:sz w:val="30"/>
          <w:szCs w:val="30"/>
          <w:u w:val="none"/>
          <w:lang w:val="en-US" w:eastAsia="zh-CN"/>
        </w:rPr>
        <w:t xml:space="preserve"> </w:t>
      </w:r>
      <w:r>
        <w:rPr>
          <w:rFonts w:hint="eastAsia" w:ascii="黑体" w:hAnsi="黑体" w:eastAsia="黑体" w:cs="黑体"/>
          <w:b/>
          <w:bCs/>
          <w:color w:val="auto"/>
          <w:kern w:val="0"/>
          <w:sz w:val="30"/>
          <w:szCs w:val="30"/>
          <w:u w:val="none"/>
        </w:rPr>
        <w:t>其他事项规定</w:t>
      </w:r>
    </w:p>
    <w:p>
      <w:pPr>
        <w:widowControl/>
        <w:ind w:firstLine="600" w:firstLineChars="20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（一）在CSSCI来源期刊上发表的翻译论文，认定为CSSCI来源期刊上发表的论文，享受科研奖励；发表在自然科学类期刊上的论文以北大核心期刊为考核标准。</w:t>
      </w:r>
    </w:p>
    <w:p>
      <w:pPr>
        <w:widowControl/>
        <w:ind w:firstLine="48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（二）凡不符合国家新闻出版总署2005年第31号文件《期刊出版管理规定》第三十三条规定的一号多刊、一号多版、一刊多版的期刊，不作科研考核统计。</w:t>
      </w:r>
    </w:p>
    <w:p>
      <w:pPr>
        <w:widowControl/>
        <w:ind w:firstLine="48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三）个人撰写（非合著）的学术专著出版后所获得的超额分，以及核心期刊超额定量部分允许转入下一年科研考核统计，但应在本年度12月1日前向科研处提出书面申请。未提出申请者，视为本人同意科研工作量当年结清。</w:t>
      </w:r>
    </w:p>
    <w:p>
      <w:pPr>
        <w:widowControl/>
        <w:ind w:firstLine="480"/>
        <w:jc w:val="left"/>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lang w:eastAsia="zh-CN"/>
        </w:rPr>
        <w:t>（</w:t>
      </w:r>
      <w:r>
        <w:rPr>
          <w:rFonts w:hint="eastAsia" w:ascii="仿宋" w:hAnsi="仿宋" w:eastAsia="仿宋" w:cs="仿宋"/>
          <w:color w:val="auto"/>
          <w:kern w:val="0"/>
          <w:sz w:val="30"/>
          <w:szCs w:val="30"/>
          <w:u w:val="none"/>
          <w:lang w:val="en-US" w:eastAsia="zh-CN"/>
        </w:rPr>
        <w:t>四</w:t>
      </w:r>
      <w:r>
        <w:rPr>
          <w:rFonts w:hint="eastAsia" w:ascii="仿宋" w:hAnsi="仿宋" w:eastAsia="仿宋" w:cs="仿宋"/>
          <w:color w:val="auto"/>
          <w:kern w:val="0"/>
          <w:sz w:val="30"/>
          <w:szCs w:val="30"/>
          <w:u w:val="none"/>
          <w:lang w:eastAsia="zh-CN"/>
        </w:rPr>
        <w:t>）</w:t>
      </w:r>
      <w:r>
        <w:rPr>
          <w:rFonts w:hint="eastAsia" w:ascii="仿宋" w:hAnsi="仿宋" w:eastAsia="仿宋" w:cs="仿宋"/>
          <w:color w:val="auto"/>
          <w:kern w:val="0"/>
          <w:sz w:val="30"/>
          <w:szCs w:val="30"/>
          <w:u w:val="none"/>
        </w:rPr>
        <w:t>论文、专著、</w:t>
      </w:r>
      <w:r>
        <w:rPr>
          <w:rFonts w:hint="eastAsia" w:ascii="仿宋" w:hAnsi="仿宋" w:eastAsia="仿宋" w:cs="仿宋"/>
          <w:b w:val="0"/>
          <w:bCs/>
          <w:color w:val="auto"/>
          <w:kern w:val="0"/>
          <w:sz w:val="30"/>
          <w:szCs w:val="30"/>
          <w:u w:val="none"/>
          <w:lang w:eastAsia="zh-CN"/>
        </w:rPr>
        <w:t>点校、校勘、译著、</w:t>
      </w:r>
      <w:r>
        <w:rPr>
          <w:rFonts w:hint="eastAsia" w:ascii="仿宋" w:hAnsi="仿宋" w:eastAsia="仿宋" w:cs="仿宋"/>
          <w:color w:val="auto"/>
          <w:kern w:val="0"/>
          <w:sz w:val="30"/>
          <w:szCs w:val="30"/>
          <w:u w:val="none"/>
        </w:rPr>
        <w:t>内参</w:t>
      </w:r>
      <w:r>
        <w:rPr>
          <w:rFonts w:hint="eastAsia" w:ascii="仿宋" w:hAnsi="仿宋" w:eastAsia="仿宋" w:cs="仿宋"/>
          <w:color w:val="auto"/>
          <w:kern w:val="0"/>
          <w:sz w:val="30"/>
          <w:szCs w:val="30"/>
          <w:u w:val="none"/>
          <w:lang w:eastAsia="zh-CN"/>
        </w:rPr>
        <w:t>、</w:t>
      </w:r>
      <w:r>
        <w:rPr>
          <w:rFonts w:hint="eastAsia" w:ascii="仿宋" w:hAnsi="仿宋" w:eastAsia="仿宋" w:cs="仿宋"/>
          <w:color w:val="auto"/>
          <w:kern w:val="0"/>
          <w:sz w:val="30"/>
          <w:szCs w:val="30"/>
          <w:u w:val="none"/>
        </w:rPr>
        <w:t>项目、获奖成果折合一般核心期刊篇数。</w:t>
      </w:r>
    </w:p>
    <w:tbl>
      <w:tblPr>
        <w:tblStyle w:val="9"/>
        <w:tblW w:w="6885" w:type="dxa"/>
        <w:tblInd w:w="5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0"/>
        <w:gridCol w:w="4200"/>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成果</w:t>
            </w:r>
          </w:p>
        </w:tc>
        <w:tc>
          <w:tcPr>
            <w:tcW w:w="42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类别</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折合数（篇）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论文</w:t>
            </w: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权威期刊</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重要核心</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重要报刊</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人大复印资料全文转载</w:t>
            </w:r>
          </w:p>
        </w:tc>
        <w:tc>
          <w:tcPr>
            <w:tcW w:w="1695"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中国社会科学文摘摘编2500字以上</w:t>
            </w:r>
          </w:p>
        </w:tc>
        <w:tc>
          <w:tcPr>
            <w:tcW w:w="1695"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五大数据库之外其他外文期刊上1年内发表2篇学术论文（会议论文不予折合）</w:t>
            </w:r>
          </w:p>
        </w:tc>
        <w:tc>
          <w:tcPr>
            <w:tcW w:w="1695"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内参</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犯罪改造与研究</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著作</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 xml:space="preserve"> 30万字以上</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15-30万字</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20万字以上点校、校勘、译著</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科研项目</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国家级重大项目</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lang w:val="en-US" w:eastAsia="zh-CN"/>
              </w:rPr>
            </w:pPr>
            <w:r>
              <w:rPr>
                <w:rFonts w:hint="eastAsia" w:ascii="仿宋" w:hAnsi="仿宋" w:eastAsia="仿宋" w:cs="仿宋"/>
                <w:b w:val="0"/>
                <w:bCs w:val="0"/>
                <w:i w:val="0"/>
                <w:color w:val="auto"/>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国家级重点项目</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lang w:val="en-US" w:eastAsia="zh-CN"/>
              </w:rPr>
            </w:pPr>
            <w:r>
              <w:rPr>
                <w:rFonts w:hint="eastAsia" w:ascii="仿宋" w:hAnsi="仿宋" w:eastAsia="仿宋" w:cs="仿宋"/>
                <w:b w:val="0"/>
                <w:bCs w:val="0"/>
                <w:i w:val="0"/>
                <w:color w:val="auto"/>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国家级一般项目</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省部级重点项目</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省部级一般项目</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lang w:eastAsia="zh-CN"/>
              </w:rPr>
            </w:pPr>
            <w:r>
              <w:rPr>
                <w:rFonts w:hint="eastAsia" w:ascii="仿宋" w:hAnsi="仿宋" w:eastAsia="仿宋" w:cs="仿宋"/>
                <w:b w:val="0"/>
                <w:bCs w:val="0"/>
                <w:i w:val="0"/>
                <w:color w:val="auto"/>
                <w:sz w:val="24"/>
                <w:szCs w:val="24"/>
                <w:u w:val="none"/>
                <w:lang w:eastAsia="zh-CN"/>
              </w:rPr>
              <w:t>晨光项目、阳光项目</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sz w:val="24"/>
                <w:szCs w:val="24"/>
                <w:u w:val="none"/>
                <w:lang w:val="en-US" w:eastAsia="zh-CN"/>
              </w:rPr>
            </w:pPr>
            <w:r>
              <w:rPr>
                <w:rFonts w:hint="eastAsia" w:ascii="仿宋" w:hAnsi="仿宋" w:eastAsia="仿宋" w:cs="仿宋"/>
                <w:b w:val="0"/>
                <w:bCs w:val="0"/>
                <w:i w:val="0"/>
                <w:color w:val="auto"/>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经费10万元以上（含）的横向课题</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restart"/>
            <w:tcBorders>
              <w:top w:val="single" w:color="000000" w:sz="4" w:space="0"/>
              <w:left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kern w:val="0"/>
                <w:sz w:val="24"/>
                <w:szCs w:val="24"/>
                <w:u w:val="none"/>
                <w:lang w:val="en-US" w:eastAsia="zh-CN" w:bidi="ar"/>
              </w:rPr>
            </w:pPr>
          </w:p>
          <w:p>
            <w:pPr>
              <w:keepNext w:val="0"/>
              <w:keepLines w:val="0"/>
              <w:widowControl/>
              <w:suppressLineNumbers w:val="0"/>
              <w:jc w:val="center"/>
              <w:textAlignment w:val="top"/>
              <w:rPr>
                <w:rFonts w:hint="eastAsia" w:ascii="仿宋" w:hAnsi="仿宋" w:eastAsia="仿宋" w:cs="仿宋"/>
                <w:b w:val="0"/>
                <w:bCs w:val="0"/>
                <w:i w:val="0"/>
                <w:color w:val="auto"/>
                <w:kern w:val="0"/>
                <w:sz w:val="24"/>
                <w:szCs w:val="24"/>
                <w:u w:val="none"/>
                <w:lang w:val="en-US" w:eastAsia="zh-CN" w:bidi="ar"/>
              </w:rPr>
            </w:pPr>
          </w:p>
          <w:p>
            <w:pPr>
              <w:keepNext w:val="0"/>
              <w:keepLines w:val="0"/>
              <w:widowControl/>
              <w:suppressLineNumbers w:val="0"/>
              <w:jc w:val="center"/>
              <w:textAlignment w:val="top"/>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科研奖励</w:t>
            </w: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国家级一等奖</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continue"/>
            <w:tcBorders>
              <w:left w:val="single" w:color="000000" w:sz="4" w:space="0"/>
              <w:right w:val="single" w:color="000000" w:sz="4" w:space="0"/>
            </w:tcBorders>
            <w:vAlign w:val="top"/>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国家级二等奖</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continue"/>
            <w:tcBorders>
              <w:left w:val="single" w:color="000000" w:sz="4" w:space="0"/>
              <w:right w:val="single" w:color="000000" w:sz="4" w:space="0"/>
            </w:tcBorders>
            <w:vAlign w:val="top"/>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国家级三等奖</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continue"/>
            <w:tcBorders>
              <w:left w:val="single" w:color="000000" w:sz="4" w:space="0"/>
              <w:right w:val="single" w:color="000000" w:sz="4" w:space="0"/>
            </w:tcBorders>
            <w:vAlign w:val="top"/>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省部级一等奖</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continue"/>
            <w:tcBorders>
              <w:left w:val="single" w:color="000000" w:sz="4" w:space="0"/>
              <w:right w:val="single" w:color="000000" w:sz="4" w:space="0"/>
            </w:tcBorders>
            <w:vAlign w:val="top"/>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省部级二等奖</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90" w:type="dxa"/>
            <w:vMerge w:val="continue"/>
            <w:tcBorders>
              <w:left w:val="single" w:color="000000" w:sz="4" w:space="0"/>
              <w:bottom w:val="single" w:color="000000" w:sz="4" w:space="0"/>
              <w:right w:val="single" w:color="000000" w:sz="4" w:space="0"/>
            </w:tcBorders>
            <w:vAlign w:val="top"/>
          </w:tcPr>
          <w:p>
            <w:pPr>
              <w:jc w:val="center"/>
              <w:rPr>
                <w:rFonts w:hint="eastAsia" w:ascii="仿宋" w:hAnsi="仿宋" w:eastAsia="仿宋" w:cs="仿宋"/>
                <w:b w:val="0"/>
                <w:bCs w:val="0"/>
                <w:i w:val="0"/>
                <w:color w:val="auto"/>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省部级三等奖</w:t>
            </w:r>
          </w:p>
        </w:tc>
        <w:tc>
          <w:tcPr>
            <w:tcW w:w="169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w:t>
            </w:r>
          </w:p>
        </w:tc>
      </w:tr>
    </w:tbl>
    <w:p>
      <w:pPr>
        <w:widowControl/>
        <w:jc w:val="left"/>
        <w:rPr>
          <w:rFonts w:hint="eastAsia" w:ascii="黑体" w:hAnsi="黑体" w:eastAsia="黑体" w:cs="黑体"/>
          <w:b/>
          <w:bCs/>
          <w:color w:val="auto"/>
          <w:sz w:val="30"/>
          <w:szCs w:val="30"/>
          <w:u w:val="none"/>
          <w:lang w:val="en-US" w:eastAsia="zh-CN"/>
        </w:rPr>
      </w:pPr>
      <w:r>
        <w:rPr>
          <w:rFonts w:hint="eastAsia" w:ascii="黑体" w:hAnsi="黑体" w:eastAsia="黑体" w:cs="黑体"/>
          <w:b/>
          <w:bCs/>
          <w:color w:val="auto"/>
          <w:sz w:val="30"/>
          <w:szCs w:val="30"/>
          <w:u w:val="none"/>
          <w:lang w:val="en-US" w:eastAsia="zh-CN"/>
        </w:rPr>
        <w:t>注：</w:t>
      </w:r>
    </w:p>
    <w:p>
      <w:pPr>
        <w:widowControl/>
        <w:spacing w:line="720" w:lineRule="atLeast"/>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val="0"/>
          <w:bCs w:val="0"/>
          <w:color w:val="auto"/>
          <w:kern w:val="0"/>
          <w:sz w:val="28"/>
          <w:szCs w:val="28"/>
          <w:u w:val="none"/>
          <w:lang w:val="en-US" w:eastAsia="zh-CN"/>
        </w:rPr>
        <w:t>1.</w:t>
      </w:r>
      <w:r>
        <w:rPr>
          <w:rFonts w:hint="eastAsia" w:ascii="仿宋" w:hAnsi="仿宋" w:eastAsia="仿宋" w:cs="仿宋"/>
          <w:b w:val="0"/>
          <w:bCs w:val="0"/>
          <w:color w:val="auto"/>
          <w:kern w:val="0"/>
          <w:sz w:val="28"/>
          <w:szCs w:val="28"/>
          <w:u w:val="none"/>
        </w:rPr>
        <w:t>“权威期刊”、“重要核心期刊”见本办法第三条规定</w:t>
      </w:r>
      <w:r>
        <w:rPr>
          <w:rFonts w:hint="eastAsia" w:ascii="仿宋" w:hAnsi="仿宋" w:eastAsia="仿宋" w:cs="仿宋"/>
          <w:b w:val="0"/>
          <w:bCs w:val="0"/>
          <w:color w:val="auto"/>
          <w:kern w:val="0"/>
          <w:sz w:val="28"/>
          <w:szCs w:val="28"/>
          <w:u w:val="none"/>
          <w:lang w:eastAsia="zh-CN"/>
        </w:rPr>
        <w:t>。</w:t>
      </w:r>
      <w:r>
        <w:rPr>
          <w:rFonts w:hint="eastAsia" w:ascii="仿宋" w:hAnsi="仿宋" w:eastAsia="仿宋" w:cs="仿宋"/>
          <w:b w:val="0"/>
          <w:bCs w:val="0"/>
          <w:color w:val="auto"/>
          <w:kern w:val="0"/>
          <w:sz w:val="28"/>
          <w:szCs w:val="28"/>
          <w:u w:val="none"/>
        </w:rPr>
        <w:t>“重要报刊论文”指在重要报刊学术理论版发表的、作者为第一署名作者、上海政法学院为第一署名单位，且字数在1</w:t>
      </w:r>
      <w:r>
        <w:rPr>
          <w:rFonts w:hint="eastAsia" w:ascii="仿宋" w:hAnsi="仿宋" w:eastAsia="仿宋" w:cs="仿宋"/>
          <w:b w:val="0"/>
          <w:bCs w:val="0"/>
          <w:color w:val="auto"/>
          <w:kern w:val="0"/>
          <w:sz w:val="28"/>
          <w:szCs w:val="28"/>
          <w:u w:val="none"/>
          <w:lang w:val="en-US" w:eastAsia="zh-CN"/>
        </w:rPr>
        <w:t>0</w:t>
      </w:r>
      <w:r>
        <w:rPr>
          <w:rFonts w:hint="eastAsia" w:ascii="仿宋" w:hAnsi="仿宋" w:eastAsia="仿宋" w:cs="仿宋"/>
          <w:b w:val="0"/>
          <w:bCs w:val="0"/>
          <w:color w:val="auto"/>
          <w:kern w:val="0"/>
          <w:sz w:val="28"/>
          <w:szCs w:val="28"/>
          <w:u w:val="none"/>
        </w:rPr>
        <w:t>00字以上的论文（重要报刊目录见本办法第十条规定）</w:t>
      </w:r>
      <w:r>
        <w:rPr>
          <w:rFonts w:hint="eastAsia" w:ascii="仿宋" w:hAnsi="仿宋" w:eastAsia="仿宋" w:cs="仿宋"/>
          <w:b w:val="0"/>
          <w:bCs w:val="0"/>
          <w:color w:val="auto"/>
          <w:kern w:val="0"/>
          <w:sz w:val="28"/>
          <w:szCs w:val="28"/>
          <w:u w:val="none"/>
          <w:lang w:eastAsia="zh-CN"/>
        </w:rPr>
        <w:t>。</w:t>
      </w:r>
      <w:r>
        <w:rPr>
          <w:rFonts w:hint="eastAsia" w:ascii="仿宋" w:hAnsi="仿宋" w:eastAsia="仿宋" w:cs="仿宋"/>
          <w:b w:val="0"/>
          <w:bCs w:val="0"/>
          <w:color w:val="auto"/>
          <w:kern w:val="0"/>
          <w:sz w:val="28"/>
          <w:szCs w:val="28"/>
          <w:u w:val="none"/>
          <w:lang w:val="en-US" w:eastAsia="zh-CN"/>
        </w:rPr>
        <w:t>发表在同一会议论文集中的论文，考核只能认定一篇。</w:t>
      </w:r>
      <w:r>
        <w:rPr>
          <w:rFonts w:hint="eastAsia" w:ascii="仿宋" w:hAnsi="仿宋" w:eastAsia="仿宋" w:cs="仿宋"/>
          <w:color w:val="auto"/>
          <w:kern w:val="0"/>
          <w:sz w:val="28"/>
          <w:szCs w:val="28"/>
          <w:u w:val="none"/>
        </w:rPr>
        <w:t>“内参”指在《人民日报》、《光明日报》、《法制日报》、《经济日报》、《中国教育报》的《内参》及新华社《内参》上发表的文章。</w:t>
      </w:r>
    </w:p>
    <w:p>
      <w:pPr>
        <w:widowControl/>
        <w:ind w:firstLine="560" w:firstLineChars="200"/>
        <w:jc w:val="left"/>
        <w:rPr>
          <w:rFonts w:hint="eastAsia" w:ascii="仿宋" w:hAnsi="仿宋" w:eastAsia="仿宋" w:cs="仿宋"/>
          <w:b w:val="0"/>
          <w:bCs w:val="0"/>
          <w:color w:val="auto"/>
          <w:kern w:val="0"/>
          <w:sz w:val="28"/>
          <w:szCs w:val="28"/>
          <w:u w:val="none"/>
        </w:rPr>
      </w:pPr>
      <w:r>
        <w:rPr>
          <w:rFonts w:hint="eastAsia" w:ascii="仿宋" w:hAnsi="仿宋" w:eastAsia="仿宋" w:cs="仿宋"/>
          <w:b w:val="0"/>
          <w:bCs w:val="0"/>
          <w:color w:val="auto"/>
          <w:kern w:val="0"/>
          <w:sz w:val="28"/>
          <w:szCs w:val="28"/>
          <w:u w:val="none"/>
          <w:lang w:val="en-US" w:eastAsia="zh-CN"/>
        </w:rPr>
        <w:t>2.</w:t>
      </w:r>
      <w:r>
        <w:rPr>
          <w:rFonts w:hint="eastAsia" w:ascii="仿宋" w:hAnsi="仿宋" w:eastAsia="仿宋" w:cs="仿宋"/>
          <w:b w:val="0"/>
          <w:bCs w:val="0"/>
          <w:color w:val="auto"/>
          <w:kern w:val="0"/>
          <w:sz w:val="28"/>
          <w:szCs w:val="28"/>
          <w:u w:val="none"/>
        </w:rPr>
        <w:t>“专著”分独著与合著两类。独著指一人</w:t>
      </w:r>
      <w:r>
        <w:rPr>
          <w:rFonts w:hint="eastAsia" w:ascii="仿宋" w:hAnsi="仿宋" w:eastAsia="仿宋" w:cs="仿宋"/>
          <w:b w:val="0"/>
          <w:bCs w:val="0"/>
          <w:color w:val="auto"/>
          <w:kern w:val="0"/>
          <w:sz w:val="28"/>
          <w:szCs w:val="28"/>
          <w:u w:val="none"/>
          <w:lang w:eastAsia="zh-CN"/>
        </w:rPr>
        <w:t>撰写</w:t>
      </w:r>
      <w:r>
        <w:rPr>
          <w:rFonts w:hint="eastAsia" w:ascii="仿宋" w:hAnsi="仿宋" w:eastAsia="仿宋" w:cs="仿宋"/>
          <w:b w:val="0"/>
          <w:bCs w:val="0"/>
          <w:color w:val="auto"/>
          <w:kern w:val="0"/>
          <w:sz w:val="28"/>
          <w:szCs w:val="28"/>
          <w:u w:val="none"/>
        </w:rPr>
        <w:t>、在考核期内公开出版的学术成果。“合著”指二人以上合作</w:t>
      </w:r>
      <w:r>
        <w:rPr>
          <w:rFonts w:hint="eastAsia" w:ascii="仿宋" w:hAnsi="仿宋" w:eastAsia="仿宋" w:cs="仿宋"/>
          <w:b w:val="0"/>
          <w:bCs w:val="0"/>
          <w:color w:val="auto"/>
          <w:kern w:val="0"/>
          <w:sz w:val="28"/>
          <w:szCs w:val="28"/>
          <w:u w:val="none"/>
          <w:lang w:eastAsia="zh-CN"/>
        </w:rPr>
        <w:t>撰写，</w:t>
      </w:r>
      <w:r>
        <w:rPr>
          <w:rFonts w:hint="eastAsia" w:ascii="仿宋" w:hAnsi="仿宋" w:eastAsia="仿宋" w:cs="仿宋"/>
          <w:b w:val="0"/>
          <w:bCs w:val="0"/>
          <w:color w:val="auto"/>
          <w:kern w:val="0"/>
          <w:sz w:val="28"/>
          <w:szCs w:val="28"/>
          <w:u w:val="none"/>
        </w:rPr>
        <w:t>在考核期内公开出版的学术成果。字数和出版日期以版权页的标注为准。接受学校资助的专著，可以折抵核心期刊，</w:t>
      </w:r>
      <w:r>
        <w:rPr>
          <w:rFonts w:hint="eastAsia" w:ascii="仿宋" w:hAnsi="仿宋" w:eastAsia="仿宋" w:cs="仿宋"/>
          <w:b w:val="0"/>
          <w:bCs w:val="0"/>
          <w:color w:val="auto"/>
          <w:kern w:val="0"/>
          <w:sz w:val="28"/>
          <w:szCs w:val="28"/>
          <w:u w:val="none"/>
          <w:lang w:eastAsia="zh-CN"/>
        </w:rPr>
        <w:t>但</w:t>
      </w:r>
      <w:r>
        <w:rPr>
          <w:rFonts w:hint="eastAsia" w:ascii="仿宋" w:hAnsi="仿宋" w:eastAsia="仿宋" w:cs="仿宋"/>
          <w:b w:val="0"/>
          <w:bCs w:val="0"/>
          <w:color w:val="auto"/>
          <w:kern w:val="0"/>
          <w:sz w:val="28"/>
          <w:szCs w:val="28"/>
          <w:u w:val="none"/>
        </w:rPr>
        <w:t>不予科研奖励。</w:t>
      </w:r>
      <w:r>
        <w:rPr>
          <w:rFonts w:hint="eastAsia" w:ascii="仿宋" w:hAnsi="仿宋" w:eastAsia="仿宋" w:cs="仿宋"/>
          <w:b w:val="0"/>
          <w:bCs w:val="0"/>
          <w:color w:val="auto"/>
          <w:kern w:val="0"/>
          <w:sz w:val="28"/>
          <w:szCs w:val="28"/>
          <w:u w:val="none"/>
          <w:lang w:val="en-US" w:eastAsia="zh-CN"/>
        </w:rPr>
        <w:t>30万字以下的专著，折合一篇核心论文，成果由作者协商分配，协商不成的，归第一作者。</w:t>
      </w:r>
    </w:p>
    <w:p>
      <w:pPr>
        <w:widowControl/>
        <w:ind w:firstLine="560" w:firstLineChars="200"/>
        <w:jc w:val="left"/>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3.国家级项目包括国家哲学社会科学基金课题、自然科学基金课题、软科学基金课题、教育部人文社科重大攻关课题等；国家级重大项目立项</w:t>
      </w:r>
      <w:r>
        <w:rPr>
          <w:rFonts w:hint="eastAsia" w:ascii="仿宋" w:hAnsi="仿宋" w:eastAsia="仿宋" w:cs="仿宋"/>
          <w:b w:val="0"/>
          <w:bCs w:val="0"/>
          <w:color w:val="auto"/>
          <w:kern w:val="0"/>
          <w:sz w:val="28"/>
          <w:szCs w:val="28"/>
          <w:u w:val="none"/>
          <w:lang w:val="en-US" w:eastAsia="zh-CN"/>
        </w:rPr>
        <w:t>时以3篇核心期刊统计；重点项目立项时以3篇核心期</w:t>
      </w:r>
      <w:r>
        <w:rPr>
          <w:rFonts w:hint="eastAsia" w:ascii="仿宋" w:hAnsi="仿宋" w:eastAsia="仿宋" w:cs="仿宋"/>
          <w:color w:val="auto"/>
          <w:kern w:val="0"/>
          <w:sz w:val="28"/>
          <w:szCs w:val="28"/>
          <w:u w:val="none"/>
          <w:lang w:val="en-US" w:eastAsia="zh-CN"/>
        </w:rPr>
        <w:t>刊统计，一般项目立项时以2篇核心期刊统计；按时通过鉴定验收后，按照相应折合篇数统计；项目延期完成的，不予统计。省部级课题包括省、自治区、直辖市、国家部委国家资助的公开招标课题(具体包括教育部、司法部、最高人民法院、最高人民检察院、中国法学会、上海市哲学社会科学规划项目课题、市科委自然科学基金项目、浦江计划项目、曙光计划项目、上海市决策咨询研究课题和国家部委国家资助资金招标课题等)；省部级项目立项时以1篇核心期刊统计；按时通过鉴定验收后，按照相应折合篇数统计；项目延期完成的，不予统计。</w:t>
      </w:r>
    </w:p>
    <w:p>
      <w:pPr>
        <w:widowControl/>
        <w:ind w:firstLine="560"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val="0"/>
          <w:bCs w:val="0"/>
          <w:color w:val="auto"/>
          <w:kern w:val="0"/>
          <w:sz w:val="28"/>
          <w:szCs w:val="28"/>
          <w:u w:val="none"/>
          <w:lang w:val="en-US" w:eastAsia="zh-CN"/>
        </w:rPr>
        <w:t>4.</w:t>
      </w:r>
      <w:r>
        <w:rPr>
          <w:rFonts w:hint="eastAsia" w:ascii="仿宋" w:hAnsi="仿宋" w:eastAsia="仿宋" w:cs="仿宋"/>
          <w:b w:val="0"/>
          <w:bCs w:val="0"/>
          <w:color w:val="auto"/>
          <w:kern w:val="0"/>
          <w:sz w:val="28"/>
          <w:szCs w:val="28"/>
          <w:u w:val="none"/>
        </w:rPr>
        <w:t>横向课题经费进入学校账户后，按照上表相应折合篇数统计。在考核周期内，横向课题只能折抵1篇</w:t>
      </w:r>
      <w:r>
        <w:rPr>
          <w:rFonts w:hint="eastAsia" w:ascii="仿宋" w:hAnsi="仿宋" w:eastAsia="仿宋" w:cs="仿宋"/>
          <w:b w:val="0"/>
          <w:bCs w:val="0"/>
          <w:color w:val="auto"/>
          <w:kern w:val="0"/>
          <w:sz w:val="28"/>
          <w:szCs w:val="28"/>
          <w:u w:val="none"/>
          <w:lang w:eastAsia="zh-CN"/>
        </w:rPr>
        <w:t>核心论文</w:t>
      </w:r>
      <w:r>
        <w:rPr>
          <w:rFonts w:hint="eastAsia" w:ascii="仿宋" w:hAnsi="仿宋" w:eastAsia="仿宋" w:cs="仿宋"/>
          <w:b w:val="0"/>
          <w:bCs w:val="0"/>
          <w:color w:val="auto"/>
          <w:kern w:val="0"/>
          <w:sz w:val="28"/>
          <w:szCs w:val="28"/>
          <w:u w:val="none"/>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bCs w:val="0"/>
          <w:color w:val="auto"/>
          <w:kern w:val="0"/>
          <w:sz w:val="28"/>
          <w:szCs w:val="28"/>
          <w:u w:val="none"/>
          <w:lang w:eastAsia="zh-CN"/>
        </w:rPr>
      </w:pPr>
      <w:r>
        <w:rPr>
          <w:rFonts w:hint="eastAsia" w:ascii="仿宋" w:hAnsi="仿宋" w:eastAsia="仿宋" w:cs="仿宋"/>
          <w:b w:val="0"/>
          <w:bCs w:val="0"/>
          <w:color w:val="auto"/>
          <w:kern w:val="0"/>
          <w:sz w:val="28"/>
          <w:szCs w:val="28"/>
          <w:u w:val="none"/>
          <w:lang w:val="en-US" w:eastAsia="zh-CN"/>
        </w:rPr>
        <w:t>5.</w:t>
      </w:r>
      <w:r>
        <w:rPr>
          <w:rFonts w:hint="eastAsia" w:ascii="仿宋" w:hAnsi="仿宋" w:eastAsia="仿宋" w:cs="仿宋"/>
          <w:b w:val="0"/>
          <w:bCs w:val="0"/>
          <w:color w:val="auto"/>
          <w:kern w:val="0"/>
          <w:sz w:val="28"/>
          <w:szCs w:val="28"/>
          <w:u w:val="none"/>
        </w:rPr>
        <w:t>国家级奖励是</w:t>
      </w:r>
      <w:r>
        <w:rPr>
          <w:rFonts w:hint="eastAsia" w:ascii="仿宋" w:hAnsi="仿宋" w:eastAsia="仿宋" w:cs="仿宋"/>
          <w:b w:val="0"/>
          <w:bCs w:val="0"/>
          <w:color w:val="auto"/>
          <w:kern w:val="0"/>
          <w:sz w:val="28"/>
          <w:szCs w:val="28"/>
          <w:u w:val="none"/>
          <w:lang w:eastAsia="zh-CN"/>
        </w:rPr>
        <w:t>指</w:t>
      </w:r>
      <w:r>
        <w:rPr>
          <w:rFonts w:hint="eastAsia" w:ascii="仿宋" w:hAnsi="仿宋" w:eastAsia="仿宋" w:cs="仿宋"/>
          <w:b w:val="0"/>
          <w:bCs w:val="0"/>
          <w:color w:val="auto"/>
          <w:kern w:val="0"/>
          <w:sz w:val="28"/>
          <w:szCs w:val="28"/>
          <w:u w:val="none"/>
        </w:rPr>
        <w:t>教育部高等学校科学研究优秀成果奖等科研奖励；省部级奖励包括上海哲学社会科学优秀奖、上海邓小平理论和宣传优秀奖、中国法学优秀成果奖、董必武法学成果奖等省部级单位的科研奖励。</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bCs/>
          <w:color w:val="auto"/>
          <w:sz w:val="24"/>
          <w:szCs w:val="24"/>
          <w:u w:val="none"/>
        </w:rPr>
      </w:pPr>
      <w:r>
        <w:rPr>
          <w:rFonts w:hint="eastAsia" w:ascii="仿宋" w:hAnsi="仿宋" w:eastAsia="仿宋" w:cs="仿宋"/>
          <w:color w:val="auto"/>
          <w:kern w:val="0"/>
          <w:sz w:val="28"/>
          <w:szCs w:val="28"/>
          <w:u w:val="none"/>
          <w:lang w:eastAsia="zh-CN"/>
        </w:rPr>
        <w:t>（五）</w:t>
      </w:r>
      <w:r>
        <w:rPr>
          <w:rFonts w:hint="eastAsia" w:ascii="仿宋" w:hAnsi="仿宋" w:eastAsia="仿宋" w:cs="仿宋"/>
          <w:b w:val="0"/>
          <w:bCs/>
          <w:color w:val="auto"/>
          <w:kern w:val="0"/>
          <w:sz w:val="28"/>
          <w:szCs w:val="28"/>
          <w:u w:val="none"/>
          <w:lang w:eastAsia="zh-CN"/>
        </w:rPr>
        <w:t>决策咨询报告</w:t>
      </w:r>
      <w:r>
        <w:rPr>
          <w:rFonts w:hint="eastAsia" w:ascii="仿宋" w:hAnsi="仿宋" w:eastAsia="仿宋" w:cs="仿宋"/>
          <w:b w:val="0"/>
          <w:bCs/>
          <w:color w:val="auto"/>
          <w:kern w:val="0"/>
          <w:sz w:val="28"/>
          <w:szCs w:val="28"/>
          <w:u w:val="none"/>
        </w:rPr>
        <w:t>、</w:t>
      </w:r>
      <w:r>
        <w:rPr>
          <w:rFonts w:hint="eastAsia" w:ascii="仿宋" w:hAnsi="仿宋" w:eastAsia="仿宋" w:cs="仿宋"/>
          <w:b w:val="0"/>
          <w:bCs/>
          <w:color w:val="auto"/>
          <w:kern w:val="0"/>
          <w:sz w:val="28"/>
          <w:szCs w:val="28"/>
          <w:u w:val="none"/>
          <w:lang w:eastAsia="zh-CN"/>
        </w:rPr>
        <w:t>比赛</w:t>
      </w:r>
      <w:r>
        <w:rPr>
          <w:rFonts w:hint="eastAsia" w:ascii="仿宋" w:hAnsi="仿宋" w:eastAsia="仿宋" w:cs="仿宋"/>
          <w:b w:val="0"/>
          <w:bCs/>
          <w:color w:val="auto"/>
          <w:kern w:val="0"/>
          <w:sz w:val="28"/>
          <w:szCs w:val="28"/>
          <w:u w:val="none"/>
        </w:rPr>
        <w:t>、获奖</w:t>
      </w:r>
      <w:r>
        <w:rPr>
          <w:rFonts w:hint="eastAsia" w:ascii="仿宋" w:hAnsi="仿宋" w:eastAsia="仿宋" w:cs="仿宋"/>
          <w:color w:val="auto"/>
          <w:kern w:val="0"/>
          <w:sz w:val="28"/>
          <w:szCs w:val="28"/>
          <w:u w:val="none"/>
        </w:rPr>
        <w:t>成果折</w:t>
      </w:r>
      <w:r>
        <w:rPr>
          <w:rFonts w:hint="eastAsia" w:ascii="仿宋" w:hAnsi="仿宋" w:eastAsia="仿宋" w:cs="仿宋"/>
          <w:color w:val="auto"/>
          <w:kern w:val="0"/>
          <w:sz w:val="30"/>
          <w:szCs w:val="30"/>
          <w:u w:val="none"/>
        </w:rPr>
        <w:t>合一般核心期刊篇数</w:t>
      </w:r>
      <w:r>
        <w:rPr>
          <w:rFonts w:hint="eastAsia" w:ascii="仿宋" w:hAnsi="仿宋" w:eastAsia="仿宋" w:cs="仿宋"/>
          <w:color w:val="auto"/>
          <w:kern w:val="0"/>
          <w:sz w:val="30"/>
          <w:szCs w:val="30"/>
          <w:u w:val="none"/>
          <w:lang w:eastAsia="zh-CN"/>
        </w:rPr>
        <w:t>。</w:t>
      </w:r>
    </w:p>
    <w:tbl>
      <w:tblPr>
        <w:tblStyle w:val="10"/>
        <w:tblW w:w="7260" w:type="dxa"/>
        <w:tblInd w:w="64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20"/>
        <w:gridCol w:w="1620"/>
        <w:gridCol w:w="2625"/>
        <w:gridCol w:w="16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1320" w:type="dxa"/>
            <w:tcBorders>
              <w:tl2br w:val="nil"/>
              <w:tr2bl w:val="nil"/>
            </w:tcBorders>
            <w:vAlign w:val="top"/>
          </w:tcPr>
          <w:p>
            <w:pPr>
              <w:keepNext w:val="0"/>
              <w:keepLines w:val="0"/>
              <w:widowControl/>
              <w:suppressLineNumbers w:val="0"/>
              <w:jc w:val="center"/>
              <w:textAlignment w:val="top"/>
              <w:rPr>
                <w:rFonts w:hint="eastAsia" w:ascii="仿宋" w:hAnsi="仿宋" w:eastAsia="仿宋" w:cs="仿宋"/>
                <w:b/>
                <w:bCs/>
                <w:color w:val="auto"/>
                <w:kern w:val="0"/>
                <w:sz w:val="24"/>
                <w:szCs w:val="24"/>
                <w:u w:val="none"/>
              </w:rPr>
            </w:pPr>
            <w:r>
              <w:rPr>
                <w:rFonts w:hint="eastAsia" w:ascii="仿宋" w:hAnsi="仿宋" w:eastAsia="仿宋" w:cs="仿宋"/>
                <w:b/>
                <w:bCs/>
                <w:i w:val="0"/>
                <w:color w:val="auto"/>
                <w:kern w:val="0"/>
                <w:sz w:val="24"/>
                <w:szCs w:val="24"/>
                <w:u w:val="none"/>
                <w:lang w:val="en-US" w:eastAsia="zh-CN" w:bidi="ar"/>
              </w:rPr>
              <w:t>成果</w:t>
            </w:r>
          </w:p>
        </w:tc>
        <w:tc>
          <w:tcPr>
            <w:tcW w:w="4245" w:type="dxa"/>
            <w:gridSpan w:val="2"/>
            <w:tcBorders>
              <w:tl2br w:val="nil"/>
              <w:tr2bl w:val="nil"/>
            </w:tcBorders>
            <w:vAlign w:val="top"/>
          </w:tcPr>
          <w:p>
            <w:pPr>
              <w:keepNext w:val="0"/>
              <w:keepLines w:val="0"/>
              <w:widowControl/>
              <w:suppressLineNumbers w:val="0"/>
              <w:jc w:val="center"/>
              <w:textAlignment w:val="top"/>
              <w:rPr>
                <w:rFonts w:hint="eastAsia" w:ascii="仿宋" w:hAnsi="仿宋" w:eastAsia="仿宋" w:cs="仿宋"/>
                <w:b/>
                <w:bCs/>
                <w:color w:val="auto"/>
                <w:kern w:val="0"/>
                <w:sz w:val="24"/>
                <w:szCs w:val="24"/>
                <w:u w:val="none"/>
                <w:lang w:val="en-US" w:eastAsia="zh-CN"/>
              </w:rPr>
            </w:pPr>
            <w:r>
              <w:rPr>
                <w:rFonts w:hint="eastAsia" w:ascii="仿宋" w:hAnsi="仿宋" w:eastAsia="仿宋" w:cs="仿宋"/>
                <w:b/>
                <w:bCs/>
                <w:i w:val="0"/>
                <w:color w:val="auto"/>
                <w:kern w:val="0"/>
                <w:sz w:val="24"/>
                <w:szCs w:val="24"/>
                <w:u w:val="none"/>
                <w:lang w:val="en-US" w:eastAsia="zh-CN" w:bidi="ar"/>
              </w:rPr>
              <w:t>类别</w:t>
            </w:r>
          </w:p>
        </w:tc>
        <w:tc>
          <w:tcPr>
            <w:tcW w:w="1695" w:type="dxa"/>
            <w:tcBorders>
              <w:tl2br w:val="nil"/>
              <w:tr2bl w:val="nil"/>
            </w:tcBorders>
            <w:vAlign w:val="top"/>
          </w:tcPr>
          <w:p>
            <w:pPr>
              <w:keepNext w:val="0"/>
              <w:keepLines w:val="0"/>
              <w:widowControl/>
              <w:suppressLineNumbers w:val="0"/>
              <w:jc w:val="center"/>
              <w:textAlignment w:val="top"/>
              <w:rPr>
                <w:rFonts w:hint="eastAsia" w:ascii="仿宋" w:hAnsi="仿宋" w:eastAsia="仿宋" w:cs="仿宋"/>
                <w:b/>
                <w:bCs/>
                <w:color w:val="auto"/>
                <w:kern w:val="0"/>
                <w:sz w:val="24"/>
                <w:szCs w:val="24"/>
                <w:u w:val="none"/>
              </w:rPr>
            </w:pPr>
            <w:r>
              <w:rPr>
                <w:rFonts w:hint="eastAsia" w:ascii="仿宋" w:hAnsi="仿宋" w:eastAsia="仿宋" w:cs="仿宋"/>
                <w:b/>
                <w:bCs/>
                <w:i w:val="0"/>
                <w:color w:val="auto"/>
                <w:kern w:val="0"/>
                <w:sz w:val="24"/>
                <w:szCs w:val="24"/>
                <w:u w:val="none"/>
                <w:lang w:val="en-US" w:eastAsia="zh-CN" w:bidi="ar"/>
              </w:rPr>
              <w:t>折合数（篇）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1320" w:type="dxa"/>
            <w:vMerge w:val="restart"/>
            <w:tcBorders>
              <w:tl2br w:val="nil"/>
              <w:tr2bl w:val="nil"/>
            </w:tcBorders>
            <w:vAlign w:val="center"/>
          </w:tcPr>
          <w:p>
            <w:pPr>
              <w:widowControl/>
              <w:jc w:val="center"/>
              <w:rPr>
                <w:rFonts w:hint="eastAsia" w:ascii="仿宋" w:hAnsi="仿宋" w:eastAsia="仿宋" w:cs="仿宋"/>
                <w:b w:val="0"/>
                <w:bCs/>
                <w:color w:val="auto"/>
                <w:kern w:val="0"/>
                <w:sz w:val="24"/>
                <w:szCs w:val="24"/>
                <w:u w:val="none"/>
                <w:vertAlign w:val="baseline"/>
                <w:lang w:val="en-US" w:eastAsia="zh-CN"/>
              </w:rPr>
            </w:pPr>
            <w:r>
              <w:rPr>
                <w:rFonts w:hint="eastAsia" w:ascii="仿宋" w:hAnsi="仿宋" w:eastAsia="仿宋" w:cs="仿宋"/>
                <w:b w:val="0"/>
                <w:bCs/>
                <w:color w:val="auto"/>
                <w:kern w:val="0"/>
                <w:sz w:val="24"/>
                <w:szCs w:val="24"/>
                <w:u w:val="none"/>
              </w:rPr>
              <w:t>决策咨询报告</w:t>
            </w:r>
          </w:p>
        </w:tc>
        <w:tc>
          <w:tcPr>
            <w:tcW w:w="4245" w:type="dxa"/>
            <w:gridSpan w:val="2"/>
            <w:tcBorders>
              <w:tl2br w:val="nil"/>
              <w:tr2bl w:val="nil"/>
            </w:tcBorders>
            <w:vAlign w:val="center"/>
          </w:tcPr>
          <w:p>
            <w:pPr>
              <w:widowControl/>
              <w:jc w:val="center"/>
              <w:rPr>
                <w:rFonts w:hint="eastAsia" w:ascii="仿宋" w:hAnsi="仿宋" w:eastAsia="仿宋" w:cs="仿宋"/>
                <w:b w:val="0"/>
                <w:bCs/>
                <w:color w:val="auto"/>
                <w:spacing w:val="-12"/>
                <w:kern w:val="0"/>
                <w:sz w:val="24"/>
                <w:szCs w:val="24"/>
                <w:u w:val="none"/>
                <w:lang w:val="en-US" w:eastAsia="zh-CN"/>
              </w:rPr>
            </w:pPr>
            <w:r>
              <w:rPr>
                <w:rFonts w:hint="eastAsia" w:ascii="仿宋" w:hAnsi="仿宋" w:eastAsia="仿宋" w:cs="仿宋"/>
                <w:b w:val="0"/>
                <w:bCs/>
                <w:color w:val="auto"/>
                <w:kern w:val="0"/>
                <w:sz w:val="24"/>
                <w:szCs w:val="24"/>
                <w:u w:val="none"/>
              </w:rPr>
              <w:t>国家级领导人</w:t>
            </w:r>
            <w:r>
              <w:rPr>
                <w:rFonts w:hint="eastAsia" w:ascii="仿宋" w:hAnsi="仿宋" w:eastAsia="仿宋" w:cs="仿宋"/>
                <w:b w:val="0"/>
                <w:bCs/>
                <w:color w:val="auto"/>
                <w:kern w:val="0"/>
                <w:sz w:val="24"/>
                <w:szCs w:val="24"/>
                <w:u w:val="none"/>
                <w:lang w:eastAsia="zh-CN"/>
              </w:rPr>
              <w:t>肯定性</w:t>
            </w:r>
            <w:r>
              <w:rPr>
                <w:rFonts w:hint="eastAsia" w:ascii="仿宋" w:hAnsi="仿宋" w:eastAsia="仿宋" w:cs="仿宋"/>
                <w:b w:val="0"/>
                <w:bCs/>
                <w:color w:val="auto"/>
                <w:kern w:val="0"/>
                <w:sz w:val="24"/>
                <w:szCs w:val="24"/>
                <w:u w:val="none"/>
              </w:rPr>
              <w:t>批示</w:t>
            </w:r>
            <w:r>
              <w:rPr>
                <w:rFonts w:hint="eastAsia" w:ascii="仿宋" w:hAnsi="仿宋" w:eastAsia="仿宋" w:cs="仿宋"/>
                <w:b w:val="0"/>
                <w:bCs/>
                <w:color w:val="auto"/>
                <w:kern w:val="0"/>
                <w:sz w:val="24"/>
                <w:szCs w:val="24"/>
                <w:u w:val="none"/>
                <w:lang w:val="en-US" w:eastAsia="zh-CN"/>
              </w:rPr>
              <w:t>1篇</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trPr>
        <w:tc>
          <w:tcPr>
            <w:tcW w:w="1320" w:type="dxa"/>
            <w:vMerge w:val="continue"/>
            <w:tcBorders>
              <w:tl2br w:val="nil"/>
              <w:tr2bl w:val="nil"/>
            </w:tcBorders>
            <w:vAlign w:val="top"/>
          </w:tcPr>
          <w:p>
            <w:pPr>
              <w:widowControl/>
              <w:jc w:val="left"/>
              <w:rPr>
                <w:rFonts w:hint="eastAsia" w:ascii="仿宋" w:hAnsi="仿宋" w:eastAsia="仿宋" w:cs="仿宋"/>
                <w:b w:val="0"/>
                <w:bCs/>
                <w:color w:val="auto"/>
                <w:kern w:val="0"/>
                <w:sz w:val="24"/>
                <w:szCs w:val="24"/>
                <w:u w:val="none"/>
              </w:rPr>
            </w:pPr>
          </w:p>
        </w:tc>
        <w:tc>
          <w:tcPr>
            <w:tcW w:w="4245" w:type="dxa"/>
            <w:gridSpan w:val="2"/>
            <w:tcBorders>
              <w:bottom w:val="single" w:color="auto" w:sz="4" w:space="0"/>
              <w:tl2br w:val="nil"/>
              <w:tr2bl w:val="nil"/>
            </w:tcBorders>
            <w:vAlign w:val="center"/>
          </w:tcPr>
          <w:p>
            <w:pPr>
              <w:widowControl/>
              <w:jc w:val="center"/>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rPr>
              <w:t>省部级领导人</w:t>
            </w:r>
            <w:r>
              <w:rPr>
                <w:rFonts w:hint="eastAsia" w:ascii="仿宋" w:hAnsi="仿宋" w:eastAsia="仿宋" w:cs="仿宋"/>
                <w:b w:val="0"/>
                <w:bCs/>
                <w:color w:val="auto"/>
                <w:kern w:val="0"/>
                <w:sz w:val="24"/>
                <w:szCs w:val="24"/>
                <w:u w:val="none"/>
                <w:lang w:eastAsia="zh-CN"/>
              </w:rPr>
              <w:t>肯定性</w:t>
            </w:r>
            <w:r>
              <w:rPr>
                <w:rFonts w:hint="eastAsia" w:ascii="仿宋" w:hAnsi="仿宋" w:eastAsia="仿宋" w:cs="仿宋"/>
                <w:b w:val="0"/>
                <w:bCs/>
                <w:color w:val="auto"/>
                <w:kern w:val="0"/>
                <w:sz w:val="24"/>
                <w:szCs w:val="24"/>
                <w:u w:val="none"/>
              </w:rPr>
              <w:t>批示</w:t>
            </w:r>
            <w:r>
              <w:rPr>
                <w:rFonts w:hint="eastAsia" w:ascii="仿宋" w:hAnsi="仿宋" w:eastAsia="仿宋" w:cs="仿宋"/>
                <w:b w:val="0"/>
                <w:bCs/>
                <w:color w:val="auto"/>
                <w:kern w:val="0"/>
                <w:sz w:val="24"/>
                <w:szCs w:val="24"/>
                <w:u w:val="none"/>
                <w:lang w:val="en-US" w:eastAsia="zh-CN"/>
              </w:rPr>
              <w:t>1篇</w:t>
            </w:r>
          </w:p>
        </w:tc>
        <w:tc>
          <w:tcPr>
            <w:tcW w:w="1695" w:type="dxa"/>
            <w:tcBorders>
              <w:bottom w:val="single" w:color="auto" w:sz="4" w:space="0"/>
              <w:tl2br w:val="nil"/>
              <w:tr2bl w:val="nil"/>
            </w:tcBorders>
            <w:vAlign w:val="top"/>
          </w:tcPr>
          <w:p>
            <w:pPr>
              <w:widowControl/>
              <w:jc w:val="center"/>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77" w:hRule="atLeast"/>
        </w:trPr>
        <w:tc>
          <w:tcPr>
            <w:tcW w:w="1320" w:type="dxa"/>
            <w:vMerge w:val="continue"/>
            <w:tcBorders>
              <w:tl2br w:val="nil"/>
              <w:tr2bl w:val="nil"/>
            </w:tcBorders>
            <w:vAlign w:val="top"/>
          </w:tcPr>
          <w:p>
            <w:pPr>
              <w:widowControl/>
              <w:jc w:val="left"/>
              <w:rPr>
                <w:rFonts w:hint="eastAsia" w:ascii="仿宋" w:hAnsi="仿宋" w:eastAsia="仿宋" w:cs="仿宋"/>
                <w:b w:val="0"/>
                <w:bCs/>
                <w:color w:val="auto"/>
                <w:kern w:val="0"/>
                <w:sz w:val="24"/>
                <w:szCs w:val="24"/>
                <w:u w:val="none"/>
              </w:rPr>
            </w:pPr>
          </w:p>
        </w:tc>
        <w:tc>
          <w:tcPr>
            <w:tcW w:w="4245" w:type="dxa"/>
            <w:gridSpan w:val="2"/>
            <w:tcBorders>
              <w:top w:val="single" w:color="auto" w:sz="4" w:space="0"/>
              <w:bottom w:val="single" w:color="auto" w:sz="4" w:space="0"/>
              <w:tl2br w:val="nil"/>
              <w:tr2bl w:val="nil"/>
            </w:tcBorders>
            <w:vAlign w:val="center"/>
          </w:tcPr>
          <w:p>
            <w:pPr>
              <w:widowControl/>
              <w:jc w:val="center"/>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国办、中办单篇录用3篇</w:t>
            </w:r>
          </w:p>
        </w:tc>
        <w:tc>
          <w:tcPr>
            <w:tcW w:w="1695" w:type="dxa"/>
            <w:tcBorders>
              <w:top w:val="single" w:color="auto" w:sz="4" w:space="0"/>
              <w:tl2br w:val="nil"/>
              <w:tr2bl w:val="nil"/>
            </w:tcBorders>
            <w:vAlign w:val="top"/>
          </w:tcPr>
          <w:p>
            <w:pPr>
              <w:widowControl/>
              <w:jc w:val="center"/>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2" w:hRule="atLeast"/>
        </w:trPr>
        <w:tc>
          <w:tcPr>
            <w:tcW w:w="1320" w:type="dxa"/>
            <w:vMerge w:val="restart"/>
            <w:tcBorders>
              <w:tl2br w:val="nil"/>
              <w:tr2bl w:val="nil"/>
            </w:tcBorders>
            <w:vAlign w:val="top"/>
          </w:tcPr>
          <w:p>
            <w:pPr>
              <w:widowControl/>
              <w:jc w:val="left"/>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rPr>
              <w:t>艺术、文体专业教师、科研人员的音乐、美术、雕塑、书法、篆刻、设计、纪录片等艺术、文体类作品参加</w:t>
            </w:r>
            <w:r>
              <w:rPr>
                <w:rFonts w:hint="eastAsia" w:ascii="仿宋" w:hAnsi="仿宋" w:eastAsia="仿宋" w:cs="仿宋"/>
                <w:b w:val="0"/>
                <w:bCs/>
                <w:color w:val="auto"/>
                <w:kern w:val="0"/>
                <w:sz w:val="24"/>
                <w:szCs w:val="24"/>
                <w:u w:val="none"/>
                <w:lang w:val="en-US" w:eastAsia="zh-CN"/>
              </w:rPr>
              <w:t>比赛</w:t>
            </w:r>
          </w:p>
        </w:tc>
        <w:tc>
          <w:tcPr>
            <w:tcW w:w="1620" w:type="dxa"/>
            <w:vMerge w:val="restart"/>
            <w:tcBorders>
              <w:top w:val="single" w:color="auto" w:sz="4" w:space="0"/>
              <w:bottom w:val="single" w:color="auto" w:sz="4" w:space="0"/>
              <w:tl2br w:val="nil"/>
              <w:tr2bl w:val="nil"/>
            </w:tcBorders>
            <w:vAlign w:val="center"/>
          </w:tcPr>
          <w:p>
            <w:pPr>
              <w:widowControl/>
              <w:jc w:val="center"/>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rPr>
              <w:t>全国综合性大赛（大展）、全国性比赛（展览）</w:t>
            </w:r>
          </w:p>
        </w:tc>
        <w:tc>
          <w:tcPr>
            <w:tcW w:w="2625" w:type="dxa"/>
            <w:tcBorders>
              <w:top w:val="single" w:color="auto" w:sz="4" w:space="0"/>
              <w:bottom w:val="single" w:color="auto" w:sz="4" w:space="0"/>
              <w:tl2br w:val="nil"/>
              <w:tr2bl w:val="nil"/>
            </w:tcBorders>
            <w:vAlign w:val="center"/>
          </w:tcPr>
          <w:p>
            <w:pPr>
              <w:widowControl/>
              <w:jc w:val="both"/>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rPr>
              <w:t>一等</w:t>
            </w:r>
            <w:r>
              <w:rPr>
                <w:rFonts w:hint="eastAsia" w:ascii="仿宋" w:hAnsi="仿宋" w:eastAsia="仿宋" w:cs="仿宋"/>
                <w:b w:val="0"/>
                <w:bCs/>
                <w:color w:val="auto"/>
                <w:kern w:val="0"/>
                <w:sz w:val="24"/>
                <w:szCs w:val="24"/>
                <w:u w:val="none"/>
              </w:rPr>
              <w:t>奖</w:t>
            </w:r>
            <w:r>
              <w:rPr>
                <w:rFonts w:hint="eastAsia" w:ascii="仿宋" w:hAnsi="仿宋" w:eastAsia="仿宋" w:cs="仿宋"/>
                <w:b w:val="0"/>
                <w:bCs/>
                <w:color w:val="auto"/>
                <w:kern w:val="0"/>
                <w:sz w:val="24"/>
                <w:szCs w:val="24"/>
                <w:u w:val="none"/>
                <w:lang w:eastAsia="zh-CN"/>
              </w:rPr>
              <w:t>（</w:t>
            </w:r>
            <w:r>
              <w:rPr>
                <w:rFonts w:hint="eastAsia" w:ascii="仿宋" w:hAnsi="仿宋" w:eastAsia="仿宋" w:cs="仿宋"/>
                <w:b w:val="0"/>
                <w:bCs/>
                <w:color w:val="auto"/>
                <w:kern w:val="0"/>
                <w:sz w:val="24"/>
                <w:szCs w:val="24"/>
                <w:u w:val="none"/>
                <w:lang w:val="en-US" w:eastAsia="zh-CN"/>
              </w:rPr>
              <w:t>金奖</w:t>
            </w:r>
            <w:r>
              <w:rPr>
                <w:rFonts w:hint="eastAsia" w:ascii="仿宋" w:hAnsi="仿宋" w:eastAsia="仿宋" w:cs="仿宋"/>
                <w:b w:val="0"/>
                <w:bCs/>
                <w:color w:val="auto"/>
                <w:kern w:val="0"/>
                <w:sz w:val="24"/>
                <w:szCs w:val="24"/>
                <w:u w:val="none"/>
                <w:lang w:eastAsia="zh-CN"/>
              </w:rPr>
              <w:t>）</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2" w:hRule="atLeast"/>
        </w:trPr>
        <w:tc>
          <w:tcPr>
            <w:tcW w:w="1320" w:type="dxa"/>
            <w:vMerge w:val="continue"/>
            <w:tcBorders>
              <w:tl2br w:val="nil"/>
              <w:tr2bl w:val="nil"/>
            </w:tcBorders>
            <w:vAlign w:val="top"/>
          </w:tcPr>
          <w:p>
            <w:pPr>
              <w:widowControl/>
              <w:jc w:val="both"/>
              <w:rPr>
                <w:rFonts w:hint="eastAsia" w:ascii="仿宋" w:hAnsi="仿宋" w:eastAsia="仿宋" w:cs="仿宋"/>
                <w:b w:val="0"/>
                <w:bCs/>
                <w:color w:val="auto"/>
                <w:sz w:val="24"/>
                <w:szCs w:val="24"/>
                <w:u w:val="none"/>
              </w:rPr>
            </w:pPr>
          </w:p>
        </w:tc>
        <w:tc>
          <w:tcPr>
            <w:tcW w:w="1620" w:type="dxa"/>
            <w:vMerge w:val="continue"/>
            <w:tcBorders>
              <w:top w:val="single" w:color="auto" w:sz="4" w:space="0"/>
              <w:tl2br w:val="nil"/>
              <w:tr2bl w:val="nil"/>
            </w:tcBorders>
            <w:vAlign w:val="center"/>
          </w:tcPr>
          <w:p>
            <w:pPr>
              <w:widowControl/>
              <w:jc w:val="both"/>
              <w:rPr>
                <w:rFonts w:hint="eastAsia" w:ascii="仿宋" w:hAnsi="仿宋" w:eastAsia="仿宋" w:cs="仿宋"/>
                <w:b w:val="0"/>
                <w:bCs/>
                <w:color w:val="auto"/>
                <w:sz w:val="24"/>
                <w:szCs w:val="24"/>
                <w:u w:val="none"/>
              </w:rPr>
            </w:pPr>
          </w:p>
        </w:tc>
        <w:tc>
          <w:tcPr>
            <w:tcW w:w="2625" w:type="dxa"/>
            <w:tcBorders>
              <w:top w:val="single" w:color="auto" w:sz="4" w:space="0"/>
              <w:tl2br w:val="nil"/>
              <w:tr2bl w:val="nil"/>
            </w:tcBorders>
            <w:vAlign w:val="center"/>
          </w:tcPr>
          <w:p>
            <w:pPr>
              <w:widowControl/>
              <w:jc w:val="both"/>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二等奖（银奖）</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2" w:hRule="atLeast"/>
        </w:trPr>
        <w:tc>
          <w:tcPr>
            <w:tcW w:w="1320" w:type="dxa"/>
            <w:vMerge w:val="continue"/>
            <w:tcBorders>
              <w:tl2br w:val="nil"/>
              <w:tr2bl w:val="nil"/>
            </w:tcBorders>
            <w:vAlign w:val="top"/>
          </w:tcPr>
          <w:p>
            <w:pPr>
              <w:widowControl/>
              <w:jc w:val="both"/>
              <w:rPr>
                <w:rFonts w:hint="eastAsia" w:ascii="仿宋" w:hAnsi="仿宋" w:eastAsia="仿宋" w:cs="仿宋"/>
                <w:b w:val="0"/>
                <w:bCs/>
                <w:color w:val="auto"/>
                <w:kern w:val="0"/>
                <w:sz w:val="24"/>
                <w:szCs w:val="24"/>
                <w:u w:val="none"/>
              </w:rPr>
            </w:pPr>
          </w:p>
        </w:tc>
        <w:tc>
          <w:tcPr>
            <w:tcW w:w="1620" w:type="dxa"/>
            <w:vMerge w:val="continue"/>
            <w:tcBorders>
              <w:tl2br w:val="nil"/>
              <w:tr2bl w:val="nil"/>
            </w:tcBorders>
            <w:vAlign w:val="center"/>
          </w:tcPr>
          <w:p>
            <w:pPr>
              <w:widowControl/>
              <w:jc w:val="both"/>
              <w:rPr>
                <w:rFonts w:hint="eastAsia" w:ascii="仿宋" w:hAnsi="仿宋" w:eastAsia="仿宋" w:cs="仿宋"/>
                <w:b w:val="0"/>
                <w:bCs/>
                <w:color w:val="auto"/>
                <w:kern w:val="0"/>
                <w:sz w:val="24"/>
                <w:szCs w:val="24"/>
                <w:u w:val="none"/>
              </w:rPr>
            </w:pPr>
          </w:p>
        </w:tc>
        <w:tc>
          <w:tcPr>
            <w:tcW w:w="2625" w:type="dxa"/>
            <w:tcBorders>
              <w:tl2br w:val="nil"/>
              <w:tr2bl w:val="nil"/>
            </w:tcBorders>
            <w:vAlign w:val="center"/>
          </w:tcPr>
          <w:p>
            <w:pPr>
              <w:widowControl/>
              <w:jc w:val="both"/>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三等奖（铜奖）</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2" w:hRule="atLeast"/>
        </w:trPr>
        <w:tc>
          <w:tcPr>
            <w:tcW w:w="1320" w:type="dxa"/>
            <w:vMerge w:val="continue"/>
            <w:tcBorders>
              <w:tl2br w:val="nil"/>
              <w:tr2bl w:val="nil"/>
            </w:tcBorders>
            <w:vAlign w:val="top"/>
          </w:tcPr>
          <w:p>
            <w:pPr>
              <w:widowControl/>
              <w:jc w:val="left"/>
              <w:rPr>
                <w:rFonts w:hint="eastAsia" w:ascii="仿宋" w:hAnsi="仿宋" w:eastAsia="仿宋" w:cs="仿宋"/>
                <w:b w:val="0"/>
                <w:bCs/>
                <w:color w:val="auto"/>
                <w:kern w:val="0"/>
                <w:sz w:val="24"/>
                <w:szCs w:val="24"/>
                <w:u w:val="none"/>
              </w:rPr>
            </w:pPr>
          </w:p>
        </w:tc>
        <w:tc>
          <w:tcPr>
            <w:tcW w:w="1620" w:type="dxa"/>
            <w:vMerge w:val="restart"/>
            <w:tcBorders>
              <w:tl2br w:val="nil"/>
              <w:tr2bl w:val="nil"/>
            </w:tcBorders>
            <w:vAlign w:val="center"/>
          </w:tcPr>
          <w:p>
            <w:pPr>
              <w:widowControl/>
              <w:jc w:val="center"/>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rPr>
              <w:t>省部级综合性大赛（大展）、省（市）部级比赛（展览）</w:t>
            </w:r>
          </w:p>
        </w:tc>
        <w:tc>
          <w:tcPr>
            <w:tcW w:w="2625" w:type="dxa"/>
            <w:tcBorders>
              <w:tl2br w:val="nil"/>
              <w:tr2bl w:val="nil"/>
            </w:tcBorders>
            <w:vAlign w:val="center"/>
          </w:tcPr>
          <w:p>
            <w:pPr>
              <w:widowControl/>
              <w:jc w:val="both"/>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一等</w:t>
            </w:r>
            <w:r>
              <w:rPr>
                <w:rFonts w:hint="eastAsia" w:ascii="仿宋" w:hAnsi="仿宋" w:eastAsia="仿宋" w:cs="仿宋"/>
                <w:b w:val="0"/>
                <w:bCs/>
                <w:color w:val="auto"/>
                <w:kern w:val="0"/>
                <w:sz w:val="24"/>
                <w:szCs w:val="24"/>
                <w:u w:val="none"/>
              </w:rPr>
              <w:t>奖</w:t>
            </w:r>
            <w:r>
              <w:rPr>
                <w:rFonts w:hint="eastAsia" w:ascii="仿宋" w:hAnsi="仿宋" w:eastAsia="仿宋" w:cs="仿宋"/>
                <w:b w:val="0"/>
                <w:bCs/>
                <w:color w:val="auto"/>
                <w:kern w:val="0"/>
                <w:sz w:val="24"/>
                <w:szCs w:val="24"/>
                <w:u w:val="none"/>
                <w:lang w:eastAsia="zh-CN"/>
              </w:rPr>
              <w:t>（</w:t>
            </w:r>
            <w:r>
              <w:rPr>
                <w:rFonts w:hint="eastAsia" w:ascii="仿宋" w:hAnsi="仿宋" w:eastAsia="仿宋" w:cs="仿宋"/>
                <w:b w:val="0"/>
                <w:bCs/>
                <w:color w:val="auto"/>
                <w:kern w:val="0"/>
                <w:sz w:val="24"/>
                <w:szCs w:val="24"/>
                <w:u w:val="none"/>
                <w:lang w:val="en-US" w:eastAsia="zh-CN"/>
              </w:rPr>
              <w:t>金奖</w:t>
            </w:r>
            <w:r>
              <w:rPr>
                <w:rFonts w:hint="eastAsia" w:ascii="仿宋" w:hAnsi="仿宋" w:eastAsia="仿宋" w:cs="仿宋"/>
                <w:b w:val="0"/>
                <w:bCs/>
                <w:color w:val="auto"/>
                <w:kern w:val="0"/>
                <w:sz w:val="24"/>
                <w:szCs w:val="24"/>
                <w:u w:val="none"/>
                <w:lang w:eastAsia="zh-CN"/>
              </w:rPr>
              <w:t>）</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1320" w:type="dxa"/>
            <w:vMerge w:val="continue"/>
            <w:tcBorders>
              <w:tl2br w:val="nil"/>
              <w:tr2bl w:val="nil"/>
            </w:tcBorders>
            <w:vAlign w:val="top"/>
          </w:tcPr>
          <w:p>
            <w:pPr>
              <w:widowControl/>
              <w:jc w:val="left"/>
              <w:rPr>
                <w:rFonts w:hint="eastAsia" w:ascii="仿宋" w:hAnsi="仿宋" w:eastAsia="仿宋" w:cs="仿宋"/>
                <w:b w:val="0"/>
                <w:bCs/>
                <w:color w:val="auto"/>
                <w:kern w:val="0"/>
                <w:sz w:val="24"/>
                <w:szCs w:val="24"/>
                <w:u w:val="none"/>
              </w:rPr>
            </w:pPr>
          </w:p>
        </w:tc>
        <w:tc>
          <w:tcPr>
            <w:tcW w:w="1620" w:type="dxa"/>
            <w:vMerge w:val="continue"/>
            <w:tcBorders>
              <w:tl2br w:val="nil"/>
              <w:tr2bl w:val="nil"/>
            </w:tcBorders>
            <w:vAlign w:val="center"/>
          </w:tcPr>
          <w:p>
            <w:pPr>
              <w:widowControl/>
              <w:jc w:val="center"/>
              <w:rPr>
                <w:rFonts w:hint="eastAsia" w:ascii="仿宋" w:hAnsi="仿宋" w:eastAsia="仿宋" w:cs="仿宋"/>
                <w:b w:val="0"/>
                <w:bCs/>
                <w:color w:val="auto"/>
                <w:kern w:val="0"/>
                <w:sz w:val="24"/>
                <w:szCs w:val="24"/>
                <w:u w:val="none"/>
              </w:rPr>
            </w:pPr>
          </w:p>
        </w:tc>
        <w:tc>
          <w:tcPr>
            <w:tcW w:w="2625" w:type="dxa"/>
            <w:tcBorders>
              <w:tl2br w:val="nil"/>
              <w:tr2bl w:val="nil"/>
            </w:tcBorders>
            <w:vAlign w:val="center"/>
          </w:tcPr>
          <w:p>
            <w:pPr>
              <w:widowControl/>
              <w:jc w:val="both"/>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二等奖（银奖）</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62" w:hRule="atLeast"/>
        </w:trPr>
        <w:tc>
          <w:tcPr>
            <w:tcW w:w="1320" w:type="dxa"/>
            <w:vMerge w:val="restart"/>
            <w:tcBorders>
              <w:tl2br w:val="nil"/>
              <w:tr2bl w:val="nil"/>
            </w:tcBorders>
            <w:vAlign w:val="center"/>
          </w:tcPr>
          <w:p>
            <w:pPr>
              <w:widowControl/>
              <w:jc w:val="center"/>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rPr>
              <w:t>其他</w:t>
            </w:r>
          </w:p>
        </w:tc>
        <w:tc>
          <w:tcPr>
            <w:tcW w:w="4245" w:type="dxa"/>
            <w:gridSpan w:val="2"/>
            <w:tcBorders>
              <w:bottom w:val="single" w:color="auto" w:sz="4" w:space="0"/>
              <w:tl2br w:val="nil"/>
              <w:tr2bl w:val="nil"/>
            </w:tcBorders>
            <w:vAlign w:val="center"/>
          </w:tcPr>
          <w:p>
            <w:pPr>
              <w:widowControl/>
              <w:jc w:val="left"/>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rPr>
              <w:t>带队并指导学生参加国际学术、教学、体育竞赛取得名次，或者带队并指导学生参加全国学术、体育竞赛取得</w:t>
            </w:r>
            <w:r>
              <w:rPr>
                <w:rFonts w:hint="eastAsia" w:ascii="仿宋" w:hAnsi="仿宋" w:eastAsia="仿宋" w:cs="仿宋"/>
                <w:b w:val="0"/>
                <w:bCs/>
                <w:color w:val="auto"/>
                <w:kern w:val="0"/>
                <w:sz w:val="24"/>
                <w:szCs w:val="24"/>
                <w:u w:val="none"/>
                <w:lang w:eastAsia="zh-CN"/>
              </w:rPr>
              <w:t>个人</w:t>
            </w:r>
            <w:r>
              <w:rPr>
                <w:rFonts w:hint="eastAsia" w:ascii="仿宋" w:hAnsi="仿宋" w:eastAsia="仿宋" w:cs="仿宋"/>
                <w:b w:val="0"/>
                <w:bCs/>
                <w:color w:val="auto"/>
                <w:kern w:val="0"/>
                <w:sz w:val="24"/>
                <w:szCs w:val="24"/>
                <w:u w:val="none"/>
              </w:rPr>
              <w:t>前三名</w:t>
            </w:r>
            <w:r>
              <w:rPr>
                <w:rFonts w:hint="eastAsia" w:ascii="仿宋" w:hAnsi="仿宋" w:eastAsia="仿宋" w:cs="仿宋"/>
                <w:b w:val="0"/>
                <w:bCs/>
                <w:color w:val="auto"/>
                <w:kern w:val="0"/>
                <w:sz w:val="24"/>
                <w:szCs w:val="24"/>
                <w:u w:val="none"/>
                <w:lang w:val="en-US" w:eastAsia="zh-CN"/>
              </w:rPr>
              <w:t>(团队竞赛前五名)</w:t>
            </w:r>
            <w:r>
              <w:rPr>
                <w:rFonts w:hint="eastAsia" w:ascii="仿宋" w:hAnsi="仿宋" w:eastAsia="仿宋" w:cs="仿宋"/>
                <w:b w:val="0"/>
                <w:bCs/>
                <w:color w:val="auto"/>
                <w:kern w:val="0"/>
                <w:sz w:val="24"/>
                <w:szCs w:val="24"/>
                <w:u w:val="none"/>
              </w:rPr>
              <w:t>或二等奖以上成绩的教师、科研人员</w:t>
            </w:r>
            <w:r>
              <w:rPr>
                <w:rFonts w:hint="eastAsia" w:ascii="仿宋" w:hAnsi="仿宋" w:eastAsia="仿宋" w:cs="仿宋"/>
                <w:b w:val="0"/>
                <w:bCs/>
                <w:color w:val="auto"/>
                <w:kern w:val="0"/>
                <w:sz w:val="24"/>
                <w:szCs w:val="24"/>
                <w:u w:val="none"/>
                <w:lang w:eastAsia="zh-CN"/>
              </w:rPr>
              <w:t>。</w:t>
            </w:r>
          </w:p>
        </w:tc>
        <w:tc>
          <w:tcPr>
            <w:tcW w:w="1695" w:type="dxa"/>
            <w:tcBorders>
              <w:bottom w:val="single" w:color="auto" w:sz="4" w:space="0"/>
              <w:tl2br w:val="nil"/>
              <w:tr2bl w:val="nil"/>
            </w:tcBorders>
            <w:vAlign w:val="top"/>
          </w:tcPr>
          <w:p>
            <w:pPr>
              <w:widowControl/>
              <w:jc w:val="center"/>
              <w:rPr>
                <w:rFonts w:hint="eastAsia" w:ascii="仿宋" w:hAnsi="仿宋" w:eastAsia="仿宋" w:cs="仿宋"/>
                <w:b/>
                <w:bCs w:val="0"/>
                <w:color w:val="auto"/>
                <w:kern w:val="0"/>
                <w:sz w:val="24"/>
                <w:szCs w:val="24"/>
                <w:u w:val="none"/>
                <w:lang w:val="en-US" w:eastAsia="zh-CN"/>
              </w:rPr>
            </w:pPr>
            <w:r>
              <w:rPr>
                <w:rFonts w:hint="eastAsia" w:ascii="仿宋" w:hAnsi="仿宋" w:eastAsia="仿宋" w:cs="仿宋"/>
                <w:b/>
                <w:bCs w:val="0"/>
                <w:color w:val="auto"/>
                <w:kern w:val="0"/>
                <w:sz w:val="24"/>
                <w:szCs w:val="24"/>
                <w:u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22" w:hRule="atLeast"/>
        </w:trPr>
        <w:tc>
          <w:tcPr>
            <w:tcW w:w="1320" w:type="dxa"/>
            <w:vMerge w:val="continue"/>
            <w:tcBorders>
              <w:tl2br w:val="nil"/>
              <w:tr2bl w:val="nil"/>
            </w:tcBorders>
            <w:vAlign w:val="center"/>
          </w:tcPr>
          <w:p>
            <w:pPr>
              <w:widowControl/>
              <w:jc w:val="center"/>
              <w:rPr>
                <w:rFonts w:hint="eastAsia" w:ascii="仿宋" w:hAnsi="仿宋" w:eastAsia="仿宋" w:cs="仿宋"/>
                <w:b w:val="0"/>
                <w:bCs/>
                <w:color w:val="auto"/>
                <w:kern w:val="0"/>
                <w:sz w:val="24"/>
                <w:szCs w:val="24"/>
                <w:u w:val="none"/>
                <w:lang w:val="en-US" w:eastAsia="zh-CN"/>
              </w:rPr>
            </w:pPr>
          </w:p>
        </w:tc>
        <w:tc>
          <w:tcPr>
            <w:tcW w:w="4245" w:type="dxa"/>
            <w:gridSpan w:val="2"/>
            <w:tcBorders>
              <w:top w:val="single" w:color="auto" w:sz="4" w:space="0"/>
              <w:tl2br w:val="nil"/>
              <w:tr2bl w:val="nil"/>
            </w:tcBorders>
            <w:vAlign w:val="center"/>
          </w:tcPr>
          <w:p>
            <w:pPr>
              <w:widowControl/>
              <w:jc w:val="left"/>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rPr>
              <w:t>带队并指导学生参加国际学术、教学、体育竞赛取得名次，或者带队并指导学生参加</w:t>
            </w:r>
            <w:r>
              <w:rPr>
                <w:rFonts w:hint="eastAsia" w:ascii="仿宋" w:hAnsi="仿宋" w:eastAsia="仿宋" w:cs="仿宋"/>
                <w:b w:val="0"/>
                <w:bCs/>
                <w:color w:val="auto"/>
                <w:kern w:val="0"/>
                <w:sz w:val="24"/>
                <w:szCs w:val="24"/>
                <w:u w:val="none"/>
                <w:lang w:eastAsia="zh-CN"/>
              </w:rPr>
              <w:t>省级</w:t>
            </w:r>
            <w:r>
              <w:rPr>
                <w:rFonts w:hint="eastAsia" w:ascii="仿宋" w:hAnsi="仿宋" w:eastAsia="仿宋" w:cs="仿宋"/>
                <w:b w:val="0"/>
                <w:bCs/>
                <w:color w:val="auto"/>
                <w:kern w:val="0"/>
                <w:sz w:val="24"/>
                <w:szCs w:val="24"/>
                <w:u w:val="none"/>
              </w:rPr>
              <w:t>学术、体育竞赛取得</w:t>
            </w:r>
            <w:r>
              <w:rPr>
                <w:rFonts w:hint="eastAsia" w:ascii="仿宋" w:hAnsi="仿宋" w:eastAsia="仿宋" w:cs="仿宋"/>
                <w:b w:val="0"/>
                <w:bCs/>
                <w:color w:val="auto"/>
                <w:kern w:val="0"/>
                <w:sz w:val="24"/>
                <w:szCs w:val="24"/>
                <w:u w:val="none"/>
                <w:lang w:eastAsia="zh-CN"/>
              </w:rPr>
              <w:t>个人</w:t>
            </w:r>
            <w:r>
              <w:rPr>
                <w:rFonts w:hint="eastAsia" w:ascii="仿宋" w:hAnsi="仿宋" w:eastAsia="仿宋" w:cs="仿宋"/>
                <w:b w:val="0"/>
                <w:bCs/>
                <w:color w:val="auto"/>
                <w:kern w:val="0"/>
                <w:sz w:val="24"/>
                <w:szCs w:val="24"/>
                <w:u w:val="none"/>
              </w:rPr>
              <w:t>前</w:t>
            </w:r>
            <w:r>
              <w:rPr>
                <w:rFonts w:hint="eastAsia" w:ascii="仿宋" w:hAnsi="仿宋" w:eastAsia="仿宋" w:cs="仿宋"/>
                <w:b w:val="0"/>
                <w:bCs/>
                <w:color w:val="auto"/>
                <w:kern w:val="0"/>
                <w:sz w:val="24"/>
                <w:szCs w:val="24"/>
                <w:u w:val="none"/>
                <w:lang w:eastAsia="zh-CN"/>
              </w:rPr>
              <w:t>二</w:t>
            </w:r>
            <w:r>
              <w:rPr>
                <w:rFonts w:hint="eastAsia" w:ascii="仿宋" w:hAnsi="仿宋" w:eastAsia="仿宋" w:cs="仿宋"/>
                <w:b w:val="0"/>
                <w:bCs/>
                <w:color w:val="auto"/>
                <w:kern w:val="0"/>
                <w:sz w:val="24"/>
                <w:szCs w:val="24"/>
                <w:u w:val="none"/>
              </w:rPr>
              <w:t>名</w:t>
            </w:r>
            <w:r>
              <w:rPr>
                <w:rFonts w:hint="eastAsia" w:ascii="仿宋" w:hAnsi="仿宋" w:eastAsia="仿宋" w:cs="仿宋"/>
                <w:b w:val="0"/>
                <w:bCs/>
                <w:color w:val="auto"/>
                <w:kern w:val="0"/>
                <w:sz w:val="24"/>
                <w:szCs w:val="24"/>
                <w:u w:val="none"/>
                <w:lang w:val="en-US" w:eastAsia="zh-CN"/>
              </w:rPr>
              <w:t>(团队竞赛前三名)</w:t>
            </w:r>
            <w:r>
              <w:rPr>
                <w:rFonts w:hint="eastAsia" w:ascii="仿宋" w:hAnsi="仿宋" w:eastAsia="仿宋" w:cs="仿宋"/>
                <w:b w:val="0"/>
                <w:bCs/>
                <w:color w:val="auto"/>
                <w:kern w:val="0"/>
                <w:sz w:val="24"/>
                <w:szCs w:val="24"/>
                <w:u w:val="none"/>
              </w:rPr>
              <w:t>或</w:t>
            </w:r>
            <w:r>
              <w:rPr>
                <w:rFonts w:hint="eastAsia" w:ascii="仿宋" w:hAnsi="仿宋" w:eastAsia="仿宋" w:cs="仿宋"/>
                <w:b w:val="0"/>
                <w:bCs/>
                <w:color w:val="auto"/>
                <w:kern w:val="0"/>
                <w:sz w:val="24"/>
                <w:szCs w:val="24"/>
                <w:u w:val="none"/>
                <w:lang w:eastAsia="zh-CN"/>
              </w:rPr>
              <w:t>一</w:t>
            </w:r>
            <w:r>
              <w:rPr>
                <w:rFonts w:hint="eastAsia" w:ascii="仿宋" w:hAnsi="仿宋" w:eastAsia="仿宋" w:cs="仿宋"/>
                <w:b w:val="0"/>
                <w:bCs/>
                <w:color w:val="auto"/>
                <w:kern w:val="0"/>
                <w:sz w:val="24"/>
                <w:szCs w:val="24"/>
                <w:u w:val="none"/>
              </w:rPr>
              <w:t>等奖以上成绩的教师、科研人员</w:t>
            </w:r>
            <w:r>
              <w:rPr>
                <w:rFonts w:hint="eastAsia" w:ascii="仿宋" w:hAnsi="仿宋" w:eastAsia="仿宋" w:cs="仿宋"/>
                <w:b w:val="0"/>
                <w:bCs/>
                <w:color w:val="auto"/>
                <w:kern w:val="0"/>
                <w:sz w:val="24"/>
                <w:szCs w:val="24"/>
                <w:u w:val="none"/>
                <w:lang w:eastAsia="zh-CN"/>
              </w:rPr>
              <w:t>。</w:t>
            </w:r>
          </w:p>
        </w:tc>
        <w:tc>
          <w:tcPr>
            <w:tcW w:w="1695" w:type="dxa"/>
            <w:tcBorders>
              <w:top w:val="single" w:color="auto" w:sz="4" w:space="0"/>
              <w:tl2br w:val="nil"/>
              <w:tr2bl w:val="nil"/>
            </w:tcBorders>
            <w:vAlign w:val="top"/>
          </w:tcPr>
          <w:p>
            <w:pPr>
              <w:widowControl/>
              <w:jc w:val="center"/>
              <w:rPr>
                <w:rFonts w:hint="eastAsia" w:ascii="仿宋" w:hAnsi="仿宋" w:eastAsia="仿宋" w:cs="仿宋"/>
                <w:b/>
                <w:bCs w:val="0"/>
                <w:color w:val="auto"/>
                <w:kern w:val="0"/>
                <w:sz w:val="24"/>
                <w:szCs w:val="24"/>
                <w:u w:val="none"/>
                <w:lang w:val="en-US" w:eastAsia="zh-CN"/>
              </w:rPr>
            </w:pPr>
            <w:r>
              <w:rPr>
                <w:rFonts w:hint="eastAsia" w:ascii="仿宋" w:hAnsi="仿宋" w:eastAsia="仿宋" w:cs="仿宋"/>
                <w:b/>
                <w:bCs w:val="0"/>
                <w:color w:val="auto"/>
                <w:kern w:val="0"/>
                <w:sz w:val="24"/>
                <w:szCs w:val="24"/>
                <w:u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trPr>
        <w:tc>
          <w:tcPr>
            <w:tcW w:w="1320" w:type="dxa"/>
            <w:vMerge w:val="continue"/>
            <w:tcBorders>
              <w:tl2br w:val="nil"/>
              <w:tr2bl w:val="nil"/>
            </w:tcBorders>
            <w:vAlign w:val="top"/>
          </w:tcPr>
          <w:p>
            <w:pPr>
              <w:widowControl/>
              <w:jc w:val="left"/>
              <w:rPr>
                <w:rFonts w:hint="eastAsia" w:ascii="仿宋" w:hAnsi="仿宋" w:eastAsia="仿宋" w:cs="仿宋"/>
                <w:b w:val="0"/>
                <w:bCs/>
                <w:color w:val="auto"/>
                <w:kern w:val="0"/>
                <w:sz w:val="24"/>
                <w:szCs w:val="24"/>
                <w:u w:val="none"/>
              </w:rPr>
            </w:pPr>
          </w:p>
        </w:tc>
        <w:tc>
          <w:tcPr>
            <w:tcW w:w="4245" w:type="dxa"/>
            <w:gridSpan w:val="2"/>
            <w:tcBorders>
              <w:tl2br w:val="nil"/>
              <w:tr2bl w:val="nil"/>
            </w:tcBorders>
            <w:vAlign w:val="center"/>
          </w:tcPr>
          <w:p>
            <w:pPr>
              <w:widowControl/>
              <w:jc w:val="left"/>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rPr>
              <w:t>纪录片、新闻片、电视短剧、电影在中央电视台、中央人民广播电台完整播放、播放时间在10分钟以上</w:t>
            </w:r>
            <w:r>
              <w:rPr>
                <w:rFonts w:hint="eastAsia" w:ascii="仿宋" w:hAnsi="仿宋" w:eastAsia="仿宋" w:cs="仿宋"/>
                <w:b w:val="0"/>
                <w:bCs/>
                <w:color w:val="auto"/>
                <w:kern w:val="0"/>
                <w:sz w:val="24"/>
                <w:szCs w:val="24"/>
                <w:u w:val="none"/>
                <w:lang w:eastAsia="zh-CN"/>
              </w:rPr>
              <w:t>。</w:t>
            </w:r>
          </w:p>
        </w:tc>
        <w:tc>
          <w:tcPr>
            <w:tcW w:w="1695" w:type="dxa"/>
            <w:tcBorders>
              <w:tl2br w:val="nil"/>
              <w:tr2bl w:val="nil"/>
            </w:tcBorders>
            <w:vAlign w:val="top"/>
          </w:tcPr>
          <w:p>
            <w:pPr>
              <w:widowControl/>
              <w:jc w:val="center"/>
              <w:rPr>
                <w:rFonts w:hint="eastAsia" w:ascii="仿宋" w:hAnsi="仿宋" w:eastAsia="仿宋" w:cs="仿宋"/>
                <w:b w:val="0"/>
                <w:bCs/>
                <w:color w:val="auto"/>
                <w:kern w:val="0"/>
                <w:sz w:val="24"/>
                <w:szCs w:val="24"/>
                <w:u w:val="none"/>
                <w:lang w:val="en-US" w:eastAsia="zh-CN"/>
              </w:rPr>
            </w:pPr>
            <w:r>
              <w:rPr>
                <w:rFonts w:hint="eastAsia" w:ascii="仿宋" w:hAnsi="仿宋" w:eastAsia="仿宋" w:cs="仿宋"/>
                <w:b w:val="0"/>
                <w:bCs/>
                <w:color w:val="auto"/>
                <w:kern w:val="0"/>
                <w:sz w:val="24"/>
                <w:szCs w:val="24"/>
                <w:u w:val="none"/>
                <w:lang w:val="en-US" w:eastAsia="zh-CN"/>
              </w:rPr>
              <w:t>1</w:t>
            </w:r>
          </w:p>
        </w:tc>
      </w:tr>
    </w:tbl>
    <w:p>
      <w:pPr>
        <w:widowControl/>
        <w:jc w:val="both"/>
        <w:rPr>
          <w:rFonts w:hint="eastAsia" w:ascii="仿宋" w:hAnsi="仿宋" w:eastAsia="仿宋" w:cs="仿宋"/>
          <w:color w:val="auto"/>
          <w:sz w:val="24"/>
          <w:szCs w:val="24"/>
          <w:u w:val="none"/>
          <w:lang w:val="en-US" w:eastAsia="zh-CN"/>
        </w:rPr>
      </w:pPr>
    </w:p>
    <w:p>
      <w:pPr>
        <w:widowControl/>
        <w:jc w:val="left"/>
        <w:rPr>
          <w:rFonts w:hint="eastAsia" w:ascii="黑体" w:hAnsi="黑体" w:eastAsia="黑体" w:cs="黑体"/>
          <w:b/>
          <w:bCs/>
          <w:color w:val="auto"/>
          <w:kern w:val="0"/>
          <w:sz w:val="28"/>
          <w:szCs w:val="28"/>
          <w:u w:val="none"/>
          <w:lang w:val="en-US" w:eastAsia="zh-CN"/>
        </w:rPr>
      </w:pPr>
      <w:r>
        <w:rPr>
          <w:rFonts w:hint="eastAsia" w:ascii="黑体" w:hAnsi="黑体" w:eastAsia="黑体" w:cs="黑体"/>
          <w:b/>
          <w:bCs/>
          <w:color w:val="auto"/>
          <w:kern w:val="0"/>
          <w:sz w:val="28"/>
          <w:szCs w:val="28"/>
          <w:u w:val="none"/>
          <w:lang w:val="en-US" w:eastAsia="zh-CN"/>
        </w:rPr>
        <w:t>注：</w:t>
      </w:r>
    </w:p>
    <w:p>
      <w:pPr>
        <w:widowControl/>
        <w:ind w:firstLine="560" w:firstLineChars="200"/>
        <w:jc w:val="left"/>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1.国家级领导人是指国务委员、政治局委员。省部级领导人是指省部级正副职领导。</w:t>
      </w:r>
    </w:p>
    <w:p>
      <w:pPr>
        <w:widowControl/>
        <w:ind w:firstLine="560" w:firstLineChars="200"/>
        <w:jc w:val="left"/>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2.艺术、文体专业教师、科研人员的音乐、美术、雕塑、书法、篆刻、设计、纪录片等艺术、文体类作品参加比赛的，如果同一作品多次参加比赛的，只能认定一次。</w:t>
      </w:r>
    </w:p>
    <w:p>
      <w:pPr>
        <w:widowControl/>
        <w:ind w:firstLine="560" w:firstLineChars="200"/>
        <w:jc w:val="left"/>
        <w:rPr>
          <w:rFonts w:hint="eastAsia" w:ascii="仿宋" w:hAnsi="仿宋" w:eastAsia="仿宋" w:cs="仿宋"/>
          <w:color w:val="auto"/>
          <w:kern w:val="0"/>
          <w:sz w:val="28"/>
          <w:szCs w:val="28"/>
          <w:u w:val="none"/>
          <w:lang w:val="en-US" w:eastAsia="zh-CN"/>
        </w:rPr>
      </w:pPr>
      <w:r>
        <w:rPr>
          <w:rFonts w:hint="eastAsia" w:ascii="仿宋" w:hAnsi="仿宋" w:eastAsia="仿宋" w:cs="仿宋"/>
          <w:b w:val="0"/>
          <w:bCs w:val="0"/>
          <w:color w:val="auto"/>
          <w:kern w:val="0"/>
          <w:sz w:val="28"/>
          <w:szCs w:val="28"/>
          <w:u w:val="none"/>
          <w:lang w:val="en-US" w:eastAsia="zh-CN"/>
        </w:rPr>
        <w:t>3.带队并指导学生参加竞赛范围具体包括：挑战杯、板球赛、贸仲杯等全国性比赛，以及上海知行杯比赛。教师、科研人员向科研处提出认定申请，并提交证明材料。每次竞赛</w:t>
      </w:r>
      <w:r>
        <w:rPr>
          <w:rFonts w:hint="eastAsia" w:ascii="仿宋" w:hAnsi="仿宋" w:eastAsia="仿宋" w:cs="仿宋"/>
          <w:color w:val="auto"/>
          <w:kern w:val="0"/>
          <w:sz w:val="28"/>
          <w:szCs w:val="28"/>
          <w:u w:val="none"/>
          <w:lang w:val="en-US" w:eastAsia="zh-CN"/>
        </w:rPr>
        <w:t>成绩仅能作为一名带队教师、科研人员申请认定科研成果的依据。教师、科研人员每年就此类科研成果只能申请认定一次。</w:t>
      </w:r>
    </w:p>
    <w:p>
      <w:pPr>
        <w:widowControl/>
        <w:ind w:firstLine="560"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val="0"/>
          <w:bCs w:val="0"/>
          <w:color w:val="auto"/>
          <w:kern w:val="0"/>
          <w:sz w:val="28"/>
          <w:szCs w:val="28"/>
          <w:u w:val="none"/>
          <w:lang w:val="en-US" w:eastAsia="zh-CN"/>
        </w:rPr>
        <w:t>4.体育部老师作品获奖或者带队参加比赛获得第五条规定奖项的，</w:t>
      </w:r>
      <w:r>
        <w:rPr>
          <w:rFonts w:hint="eastAsia" w:ascii="仿宋" w:hAnsi="仿宋" w:eastAsia="仿宋" w:cs="仿宋"/>
          <w:b w:val="0"/>
          <w:bCs w:val="0"/>
          <w:color w:val="auto"/>
          <w:kern w:val="0"/>
          <w:sz w:val="30"/>
          <w:szCs w:val="30"/>
          <w:u w:val="none"/>
        </w:rPr>
        <w:t>科研工作考核所应完成的科研分1年内免予考核</w:t>
      </w:r>
      <w:r>
        <w:rPr>
          <w:rFonts w:hint="eastAsia" w:ascii="仿宋" w:hAnsi="仿宋" w:eastAsia="仿宋" w:cs="仿宋"/>
          <w:b w:val="0"/>
          <w:bCs w:val="0"/>
          <w:color w:val="auto"/>
          <w:kern w:val="0"/>
          <w:sz w:val="28"/>
          <w:szCs w:val="28"/>
          <w:u w:val="none"/>
          <w:lang w:val="en-US" w:eastAsia="zh-CN"/>
        </w:rPr>
        <w:t>。</w:t>
      </w:r>
    </w:p>
    <w:p>
      <w:pPr>
        <w:widowControl/>
        <w:ind w:firstLine="600" w:firstLineChars="200"/>
        <w:jc w:val="left"/>
        <w:rPr>
          <w:rFonts w:hint="eastAsia" w:ascii="仿宋" w:hAnsi="仿宋" w:eastAsia="仿宋" w:cs="仿宋"/>
          <w:color w:val="auto"/>
          <w:kern w:val="0"/>
          <w:sz w:val="30"/>
          <w:szCs w:val="30"/>
          <w:u w:val="none"/>
          <w:lang w:val="en-US" w:eastAsia="zh-CN"/>
        </w:rPr>
      </w:pPr>
      <w:r>
        <w:rPr>
          <w:rFonts w:hint="eastAsia" w:ascii="仿宋" w:hAnsi="仿宋" w:eastAsia="仿宋" w:cs="仿宋"/>
          <w:b w:val="0"/>
          <w:bCs w:val="0"/>
          <w:color w:val="auto"/>
          <w:kern w:val="0"/>
          <w:sz w:val="30"/>
          <w:szCs w:val="30"/>
          <w:u w:val="none"/>
          <w:lang w:val="en-US" w:eastAsia="zh-CN"/>
        </w:rPr>
        <w:t>（六）教学成果奖、课程建设项目、优秀教材奖、教</w:t>
      </w:r>
      <w:r>
        <w:rPr>
          <w:rFonts w:hint="eastAsia" w:ascii="仿宋" w:hAnsi="仿宋" w:eastAsia="仿宋" w:cs="仿宋"/>
          <w:color w:val="auto"/>
          <w:kern w:val="0"/>
          <w:sz w:val="30"/>
          <w:szCs w:val="30"/>
          <w:u w:val="none"/>
          <w:lang w:val="en-US" w:eastAsia="zh-CN"/>
        </w:rPr>
        <w:t xml:space="preserve">学名师奖折算一般核心期刊篇数，详见下表： </w:t>
      </w:r>
    </w:p>
    <w:tbl>
      <w:tblPr>
        <w:tblStyle w:val="10"/>
        <w:tblW w:w="7545"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975"/>
        <w:gridCol w:w="2550"/>
        <w:gridCol w:w="11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4665" w:type="dxa"/>
            <w:gridSpan w:val="3"/>
            <w:shd w:val="clear" w:color="auto" w:fill="auto"/>
            <w:vAlign w:val="center"/>
          </w:tcPr>
          <w:p>
            <w:pPr>
              <w:widowControl/>
              <w:jc w:val="center"/>
              <w:rPr>
                <w:rFonts w:hint="eastAsia" w:ascii="黑体" w:hAnsi="黑体" w:eastAsia="黑体" w:cs="黑体"/>
                <w:color w:val="auto"/>
                <w:sz w:val="24"/>
                <w:szCs w:val="24"/>
                <w:u w:val="none"/>
                <w:vertAlign w:val="baseline"/>
                <w:lang w:val="en-US" w:eastAsia="zh-CN"/>
              </w:rPr>
            </w:pPr>
            <w:r>
              <w:rPr>
                <w:rStyle w:val="6"/>
                <w:rFonts w:hint="eastAsia" w:ascii="黑体" w:hAnsi="黑体" w:eastAsia="黑体" w:cs="黑体"/>
                <w:color w:val="auto"/>
                <w:sz w:val="24"/>
                <w:szCs w:val="24"/>
                <w:u w:val="none"/>
              </w:rPr>
              <w:t>教学成果奖（项：篇）</w:t>
            </w:r>
          </w:p>
        </w:tc>
        <w:tc>
          <w:tcPr>
            <w:tcW w:w="2880" w:type="dxa"/>
            <w:gridSpan w:val="2"/>
            <w:vAlign w:val="center"/>
          </w:tcPr>
          <w:p>
            <w:pPr>
              <w:widowControl/>
              <w:jc w:val="center"/>
              <w:rPr>
                <w:rFonts w:hint="eastAsia" w:ascii="黑体" w:hAnsi="黑体" w:eastAsia="黑体" w:cs="黑体"/>
                <w:color w:val="auto"/>
                <w:sz w:val="24"/>
                <w:szCs w:val="24"/>
                <w:u w:val="none"/>
                <w:vertAlign w:val="baseline"/>
                <w:lang w:val="en-US" w:eastAsia="zh-CN"/>
              </w:rPr>
            </w:pPr>
            <w:r>
              <w:rPr>
                <w:rStyle w:val="6"/>
                <w:rFonts w:hint="eastAsia" w:ascii="黑体" w:hAnsi="黑体" w:eastAsia="黑体" w:cs="黑体"/>
                <w:color w:val="auto"/>
                <w:sz w:val="24"/>
                <w:szCs w:val="24"/>
                <w:u w:val="none"/>
              </w:rPr>
              <w:t>课程建设项目（项：篇）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40" w:type="dxa"/>
            <w:vMerge w:val="restart"/>
            <w:shd w:val="clear" w:color="auto" w:fill="auto"/>
            <w:vAlign w:val="center"/>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rPr>
              <w:t>国家级</w:t>
            </w:r>
          </w:p>
        </w:tc>
        <w:tc>
          <w:tcPr>
            <w:tcW w:w="975" w:type="dxa"/>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rPr>
              <w:t>一等奖</w:t>
            </w:r>
          </w:p>
        </w:tc>
        <w:tc>
          <w:tcPr>
            <w:tcW w:w="2550"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rPr>
              <w:t>排名前</w:t>
            </w:r>
            <w:r>
              <w:rPr>
                <w:rFonts w:hint="eastAsia" w:ascii="仿宋" w:hAnsi="仿宋" w:eastAsia="仿宋" w:cs="仿宋"/>
                <w:b w:val="0"/>
                <w:bCs w:val="0"/>
                <w:color w:val="auto"/>
                <w:sz w:val="24"/>
                <w:szCs w:val="24"/>
                <w:u w:val="none"/>
                <w:lang w:val="en-US" w:eastAsia="zh-CN"/>
              </w:rPr>
              <w:t>6</w:t>
            </w:r>
            <w:r>
              <w:rPr>
                <w:rFonts w:hint="eastAsia" w:ascii="仿宋" w:hAnsi="仿宋" w:eastAsia="仿宋" w:cs="仿宋"/>
                <w:b w:val="0"/>
                <w:bCs w:val="0"/>
                <w:color w:val="auto"/>
                <w:sz w:val="24"/>
                <w:szCs w:val="24"/>
                <w:u w:val="none"/>
              </w:rPr>
              <w:t>位依次分别折算</w:t>
            </w:r>
            <w:r>
              <w:rPr>
                <w:rFonts w:hint="eastAsia" w:ascii="仿宋" w:hAnsi="仿宋" w:eastAsia="仿宋" w:cs="仿宋"/>
                <w:b w:val="0"/>
                <w:bCs w:val="0"/>
                <w:color w:val="auto"/>
                <w:sz w:val="24"/>
                <w:szCs w:val="24"/>
                <w:u w:val="none"/>
                <w:lang w:val="en-US" w:eastAsia="zh-CN"/>
              </w:rPr>
              <w:t>6</w:t>
            </w:r>
            <w:r>
              <w:rPr>
                <w:rFonts w:hint="eastAsia" w:ascii="仿宋" w:hAnsi="仿宋" w:eastAsia="仿宋" w:cs="仿宋"/>
                <w:b w:val="0"/>
                <w:bCs w:val="0"/>
                <w:color w:val="auto"/>
                <w:sz w:val="24"/>
                <w:szCs w:val="24"/>
                <w:u w:val="none"/>
              </w:rPr>
              <w:t>、</w:t>
            </w:r>
            <w:r>
              <w:rPr>
                <w:rFonts w:hint="eastAsia" w:ascii="仿宋" w:hAnsi="仿宋" w:eastAsia="仿宋" w:cs="仿宋"/>
                <w:b w:val="0"/>
                <w:bCs w:val="0"/>
                <w:color w:val="auto"/>
                <w:sz w:val="24"/>
                <w:szCs w:val="24"/>
                <w:u w:val="none"/>
                <w:lang w:val="en-US" w:eastAsia="zh-CN"/>
              </w:rPr>
              <w:t>5</w:t>
            </w:r>
            <w:r>
              <w:rPr>
                <w:rFonts w:hint="eastAsia" w:ascii="仿宋" w:hAnsi="仿宋" w:eastAsia="仿宋" w:cs="仿宋"/>
                <w:b w:val="0"/>
                <w:bCs w:val="0"/>
                <w:color w:val="auto"/>
                <w:sz w:val="24"/>
                <w:szCs w:val="24"/>
                <w:u w:val="none"/>
              </w:rPr>
              <w:t>、</w:t>
            </w:r>
            <w:r>
              <w:rPr>
                <w:rFonts w:hint="eastAsia" w:ascii="仿宋" w:hAnsi="仿宋" w:eastAsia="仿宋" w:cs="仿宋"/>
                <w:b w:val="0"/>
                <w:bCs w:val="0"/>
                <w:color w:val="auto"/>
                <w:sz w:val="24"/>
                <w:szCs w:val="24"/>
                <w:u w:val="none"/>
                <w:lang w:val="en-US" w:eastAsia="zh-CN"/>
              </w:rPr>
              <w:t>4</w:t>
            </w: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3、2、1</w:t>
            </w:r>
            <w:r>
              <w:rPr>
                <w:rFonts w:hint="eastAsia" w:ascii="仿宋" w:hAnsi="仿宋" w:eastAsia="仿宋" w:cs="仿宋"/>
                <w:b w:val="0"/>
                <w:bCs w:val="0"/>
                <w:color w:val="auto"/>
                <w:sz w:val="24"/>
                <w:szCs w:val="24"/>
                <w:u w:val="none"/>
              </w:rPr>
              <w:t>篇</w:t>
            </w:r>
          </w:p>
        </w:tc>
        <w:tc>
          <w:tcPr>
            <w:tcW w:w="1155" w:type="dxa"/>
            <w:vMerge w:val="restart"/>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rPr>
              <w:t>国家级</w:t>
            </w:r>
          </w:p>
        </w:tc>
        <w:tc>
          <w:tcPr>
            <w:tcW w:w="1725" w:type="dxa"/>
            <w:vMerge w:val="restart"/>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rPr>
              <w:t>精品课程：4篇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140" w:type="dxa"/>
            <w:vMerge w:val="continue"/>
            <w:shd w:val="clear" w:color="auto" w:fill="auto"/>
            <w:vAlign w:val="center"/>
          </w:tcPr>
          <w:p>
            <w:pPr>
              <w:jc w:val="center"/>
              <w:rPr>
                <w:rFonts w:hint="eastAsia" w:ascii="仿宋" w:hAnsi="仿宋" w:eastAsia="仿宋" w:cs="仿宋"/>
                <w:color w:val="auto"/>
                <w:sz w:val="24"/>
                <w:szCs w:val="24"/>
                <w:u w:val="none"/>
                <w:vertAlign w:val="baseline"/>
                <w:lang w:val="en-US" w:eastAsia="zh-CN"/>
              </w:rPr>
            </w:pPr>
          </w:p>
        </w:tc>
        <w:tc>
          <w:tcPr>
            <w:tcW w:w="975" w:type="dxa"/>
            <w:vMerge w:val="restart"/>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rPr>
              <w:t>二等奖</w:t>
            </w:r>
          </w:p>
        </w:tc>
        <w:tc>
          <w:tcPr>
            <w:tcW w:w="2550" w:type="dxa"/>
            <w:vMerge w:val="restart"/>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rPr>
              <w:t>排名前</w:t>
            </w:r>
            <w:r>
              <w:rPr>
                <w:rFonts w:hint="eastAsia" w:ascii="仿宋" w:hAnsi="仿宋" w:eastAsia="仿宋" w:cs="仿宋"/>
                <w:b w:val="0"/>
                <w:bCs w:val="0"/>
                <w:color w:val="auto"/>
                <w:sz w:val="24"/>
                <w:szCs w:val="24"/>
                <w:u w:val="none"/>
                <w:lang w:val="en-US" w:eastAsia="zh-CN"/>
              </w:rPr>
              <w:t>5</w:t>
            </w:r>
            <w:r>
              <w:rPr>
                <w:rFonts w:hint="eastAsia" w:ascii="仿宋" w:hAnsi="仿宋" w:eastAsia="仿宋" w:cs="仿宋"/>
                <w:b w:val="0"/>
                <w:bCs w:val="0"/>
                <w:color w:val="auto"/>
                <w:sz w:val="24"/>
                <w:szCs w:val="24"/>
                <w:u w:val="none"/>
              </w:rPr>
              <w:t>位依次分别折算</w:t>
            </w:r>
            <w:r>
              <w:rPr>
                <w:rFonts w:hint="eastAsia" w:ascii="仿宋" w:hAnsi="仿宋" w:eastAsia="仿宋" w:cs="仿宋"/>
                <w:b w:val="0"/>
                <w:bCs w:val="0"/>
                <w:color w:val="auto"/>
                <w:sz w:val="24"/>
                <w:szCs w:val="24"/>
                <w:u w:val="none"/>
                <w:lang w:val="en-US" w:eastAsia="zh-CN"/>
              </w:rPr>
              <w:t>5</w:t>
            </w:r>
            <w:r>
              <w:rPr>
                <w:rFonts w:hint="eastAsia" w:ascii="仿宋" w:hAnsi="仿宋" w:eastAsia="仿宋" w:cs="仿宋"/>
                <w:b w:val="0"/>
                <w:bCs w:val="0"/>
                <w:color w:val="auto"/>
                <w:sz w:val="24"/>
                <w:szCs w:val="24"/>
                <w:u w:val="none"/>
              </w:rPr>
              <w:t>、</w:t>
            </w:r>
            <w:r>
              <w:rPr>
                <w:rFonts w:hint="eastAsia" w:ascii="仿宋" w:hAnsi="仿宋" w:eastAsia="仿宋" w:cs="仿宋"/>
                <w:b w:val="0"/>
                <w:bCs w:val="0"/>
                <w:color w:val="auto"/>
                <w:sz w:val="24"/>
                <w:szCs w:val="24"/>
                <w:u w:val="none"/>
                <w:lang w:val="en-US" w:eastAsia="zh-CN"/>
              </w:rPr>
              <w:t>4</w:t>
            </w:r>
            <w:r>
              <w:rPr>
                <w:rFonts w:hint="eastAsia" w:ascii="仿宋" w:hAnsi="仿宋" w:eastAsia="仿宋" w:cs="仿宋"/>
                <w:b w:val="0"/>
                <w:bCs w:val="0"/>
                <w:color w:val="auto"/>
                <w:sz w:val="24"/>
                <w:szCs w:val="24"/>
                <w:u w:val="none"/>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2、1、</w:t>
            </w:r>
            <w:r>
              <w:rPr>
                <w:rFonts w:hint="eastAsia" w:ascii="仿宋" w:hAnsi="仿宋" w:eastAsia="仿宋" w:cs="仿宋"/>
                <w:b w:val="0"/>
                <w:bCs w:val="0"/>
                <w:color w:val="auto"/>
                <w:sz w:val="24"/>
                <w:szCs w:val="24"/>
                <w:u w:val="none"/>
              </w:rPr>
              <w:t>篇</w:t>
            </w:r>
          </w:p>
        </w:tc>
        <w:tc>
          <w:tcPr>
            <w:tcW w:w="1155" w:type="dxa"/>
            <w:vMerge w:val="continue"/>
            <w:shd w:val="clear" w:color="auto" w:fill="auto"/>
            <w:vAlign w:val="center"/>
          </w:tcPr>
          <w:p>
            <w:pPr>
              <w:spacing w:line="240" w:lineRule="auto"/>
              <w:jc w:val="center"/>
              <w:rPr>
                <w:rFonts w:hint="eastAsia" w:ascii="仿宋" w:hAnsi="仿宋" w:eastAsia="仿宋" w:cs="仿宋"/>
                <w:color w:val="auto"/>
                <w:sz w:val="24"/>
                <w:szCs w:val="24"/>
                <w:u w:val="none"/>
                <w:vertAlign w:val="baseline"/>
                <w:lang w:val="en-US" w:eastAsia="zh-CN"/>
              </w:rPr>
            </w:pPr>
          </w:p>
        </w:tc>
        <w:tc>
          <w:tcPr>
            <w:tcW w:w="1725" w:type="dxa"/>
            <w:vMerge w:val="continue"/>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140" w:type="dxa"/>
            <w:vMerge w:val="continue"/>
            <w:shd w:val="clear" w:color="auto" w:fill="auto"/>
            <w:vAlign w:val="center"/>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u w:val="none"/>
              </w:rPr>
            </w:pPr>
          </w:p>
        </w:tc>
        <w:tc>
          <w:tcPr>
            <w:tcW w:w="975" w:type="dxa"/>
            <w:vMerge w:val="continue"/>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b w:val="0"/>
                <w:bCs w:val="0"/>
                <w:color w:val="auto"/>
                <w:sz w:val="24"/>
                <w:szCs w:val="24"/>
                <w:u w:val="none"/>
              </w:rPr>
            </w:pPr>
          </w:p>
        </w:tc>
        <w:tc>
          <w:tcPr>
            <w:tcW w:w="2550" w:type="dxa"/>
            <w:vMerge w:val="continue"/>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b w:val="0"/>
                <w:bCs w:val="0"/>
                <w:color w:val="auto"/>
                <w:sz w:val="24"/>
                <w:szCs w:val="24"/>
                <w:u w:val="none"/>
              </w:rPr>
            </w:pPr>
          </w:p>
        </w:tc>
        <w:tc>
          <w:tcPr>
            <w:tcW w:w="1155" w:type="dxa"/>
            <w:vMerge w:val="continue"/>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rPr>
            </w:pPr>
          </w:p>
        </w:tc>
        <w:tc>
          <w:tcPr>
            <w:tcW w:w="1725" w:type="dxa"/>
            <w:vMerge w:val="restart"/>
            <w:shd w:val="clear" w:color="auto" w:fill="auto"/>
            <w:vAlign w:val="center"/>
          </w:tcPr>
          <w:p>
            <w:pPr>
              <w:widowControl/>
              <w:spacing w:line="240" w:lineRule="auto"/>
              <w:jc w:val="center"/>
              <w:rPr>
                <w:rFonts w:hint="eastAsia"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rPr>
              <w:t>双语教学示范课程：4篇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40" w:type="dxa"/>
            <w:vMerge w:val="continue"/>
            <w:shd w:val="clear" w:color="auto" w:fill="auto"/>
            <w:vAlign w:val="center"/>
          </w:tcPr>
          <w:p>
            <w:pPr>
              <w:jc w:val="center"/>
              <w:rPr>
                <w:rFonts w:hint="eastAsia" w:ascii="仿宋" w:hAnsi="仿宋" w:eastAsia="仿宋" w:cs="仿宋"/>
                <w:color w:val="auto"/>
                <w:sz w:val="24"/>
                <w:szCs w:val="24"/>
                <w:u w:val="none"/>
                <w:vertAlign w:val="baseline"/>
                <w:lang w:val="en-US" w:eastAsia="zh-CN"/>
              </w:rPr>
            </w:pPr>
          </w:p>
        </w:tc>
        <w:tc>
          <w:tcPr>
            <w:tcW w:w="975" w:type="dxa"/>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rPr>
              <w:t>三等奖</w:t>
            </w:r>
          </w:p>
        </w:tc>
        <w:tc>
          <w:tcPr>
            <w:tcW w:w="2550"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rPr>
              <w:t>排名前</w:t>
            </w:r>
            <w:r>
              <w:rPr>
                <w:rFonts w:hint="eastAsia" w:ascii="仿宋" w:hAnsi="仿宋" w:eastAsia="仿宋" w:cs="仿宋"/>
                <w:b w:val="0"/>
                <w:bCs w:val="0"/>
                <w:color w:val="auto"/>
                <w:sz w:val="24"/>
                <w:szCs w:val="24"/>
                <w:u w:val="none"/>
                <w:lang w:val="en-US" w:eastAsia="zh-CN"/>
              </w:rPr>
              <w:t>4</w:t>
            </w:r>
            <w:r>
              <w:rPr>
                <w:rFonts w:hint="eastAsia" w:ascii="仿宋" w:hAnsi="仿宋" w:eastAsia="仿宋" w:cs="仿宋"/>
                <w:b w:val="0"/>
                <w:bCs w:val="0"/>
                <w:color w:val="auto"/>
                <w:sz w:val="24"/>
                <w:szCs w:val="24"/>
                <w:u w:val="none"/>
              </w:rPr>
              <w:t>位依次分别折算</w:t>
            </w:r>
            <w:r>
              <w:rPr>
                <w:rFonts w:hint="eastAsia" w:ascii="仿宋" w:hAnsi="仿宋" w:eastAsia="仿宋" w:cs="仿宋"/>
                <w:b w:val="0"/>
                <w:bCs w:val="0"/>
                <w:color w:val="auto"/>
                <w:sz w:val="24"/>
                <w:szCs w:val="24"/>
                <w:u w:val="none"/>
                <w:lang w:val="en-US" w:eastAsia="zh-CN"/>
              </w:rPr>
              <w:t>4</w:t>
            </w:r>
            <w:r>
              <w:rPr>
                <w:rFonts w:hint="eastAsia" w:ascii="仿宋" w:hAnsi="仿宋" w:eastAsia="仿宋" w:cs="仿宋"/>
                <w:b w:val="0"/>
                <w:bCs w:val="0"/>
                <w:color w:val="auto"/>
                <w:sz w:val="24"/>
                <w:szCs w:val="24"/>
                <w:u w:val="none"/>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rPr>
              <w:t>、</w:t>
            </w:r>
            <w:r>
              <w:rPr>
                <w:rFonts w:hint="eastAsia" w:ascii="仿宋" w:hAnsi="仿宋" w:eastAsia="仿宋" w:cs="仿宋"/>
                <w:b w:val="0"/>
                <w:bCs w:val="0"/>
                <w:color w:val="auto"/>
                <w:sz w:val="24"/>
                <w:szCs w:val="24"/>
                <w:u w:val="none"/>
                <w:lang w:val="en-US" w:eastAsia="zh-CN"/>
              </w:rPr>
              <w:t>2</w:t>
            </w: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1</w:t>
            </w:r>
            <w:r>
              <w:rPr>
                <w:rFonts w:hint="eastAsia" w:ascii="仿宋" w:hAnsi="仿宋" w:eastAsia="仿宋" w:cs="仿宋"/>
                <w:b w:val="0"/>
                <w:bCs w:val="0"/>
                <w:color w:val="auto"/>
                <w:sz w:val="24"/>
                <w:szCs w:val="24"/>
                <w:u w:val="none"/>
              </w:rPr>
              <w:t>篇</w:t>
            </w:r>
          </w:p>
        </w:tc>
        <w:tc>
          <w:tcPr>
            <w:tcW w:w="1155" w:type="dxa"/>
            <w:vMerge w:val="continue"/>
            <w:vAlign w:val="center"/>
          </w:tcPr>
          <w:p>
            <w:pPr>
              <w:widowControl/>
              <w:spacing w:line="240" w:lineRule="auto"/>
              <w:jc w:val="center"/>
              <w:rPr>
                <w:rFonts w:hint="eastAsia" w:ascii="仿宋" w:hAnsi="仿宋" w:eastAsia="仿宋" w:cs="仿宋"/>
                <w:color w:val="auto"/>
                <w:sz w:val="24"/>
                <w:szCs w:val="24"/>
                <w:u w:val="none"/>
                <w:vertAlign w:val="baseline"/>
                <w:lang w:val="en-US" w:eastAsia="zh-CN"/>
              </w:rPr>
            </w:pPr>
          </w:p>
        </w:tc>
        <w:tc>
          <w:tcPr>
            <w:tcW w:w="1725" w:type="dxa"/>
            <w:vMerge w:val="continue"/>
            <w:vAlign w:val="center"/>
          </w:tcPr>
          <w:p>
            <w:pPr>
              <w:widowControl/>
              <w:spacing w:line="240" w:lineRule="auto"/>
              <w:jc w:val="center"/>
              <w:rPr>
                <w:rFonts w:hint="eastAsia" w:ascii="仿宋" w:hAnsi="仿宋" w:eastAsia="仿宋" w:cs="仿宋"/>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40" w:type="dxa"/>
            <w:vMerge w:val="restart"/>
            <w:shd w:val="clear" w:color="auto" w:fill="auto"/>
            <w:vAlign w:val="center"/>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rPr>
              <w:t>省部级</w:t>
            </w:r>
          </w:p>
        </w:tc>
        <w:tc>
          <w:tcPr>
            <w:tcW w:w="975" w:type="dxa"/>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rPr>
              <w:t>一等奖</w:t>
            </w:r>
          </w:p>
        </w:tc>
        <w:tc>
          <w:tcPr>
            <w:tcW w:w="2550"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rPr>
              <w:t>排名前</w:t>
            </w:r>
            <w:r>
              <w:rPr>
                <w:rFonts w:hint="eastAsia" w:ascii="仿宋" w:hAnsi="仿宋" w:eastAsia="仿宋" w:cs="仿宋"/>
                <w:b w:val="0"/>
                <w:bCs w:val="0"/>
                <w:color w:val="auto"/>
                <w:sz w:val="24"/>
                <w:szCs w:val="24"/>
                <w:u w:val="none"/>
                <w:lang w:val="en-US" w:eastAsia="zh-CN"/>
              </w:rPr>
              <w:t>5</w:t>
            </w:r>
            <w:r>
              <w:rPr>
                <w:rFonts w:hint="eastAsia" w:ascii="仿宋" w:hAnsi="仿宋" w:eastAsia="仿宋" w:cs="仿宋"/>
                <w:b w:val="0"/>
                <w:bCs w:val="0"/>
                <w:color w:val="auto"/>
                <w:sz w:val="24"/>
                <w:szCs w:val="24"/>
                <w:u w:val="none"/>
              </w:rPr>
              <w:t>位依次分别折算5、4、3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2、1</w:t>
            </w:r>
            <w:r>
              <w:rPr>
                <w:rFonts w:hint="eastAsia" w:ascii="仿宋" w:hAnsi="仿宋" w:eastAsia="仿宋" w:cs="仿宋"/>
                <w:b w:val="0"/>
                <w:bCs w:val="0"/>
                <w:color w:val="auto"/>
                <w:sz w:val="24"/>
                <w:szCs w:val="24"/>
                <w:u w:val="none"/>
              </w:rPr>
              <w:t>篇</w:t>
            </w:r>
          </w:p>
        </w:tc>
        <w:tc>
          <w:tcPr>
            <w:tcW w:w="1155" w:type="dxa"/>
            <w:vMerge w:val="restart"/>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rPr>
              <w:t>省部级</w:t>
            </w:r>
          </w:p>
        </w:tc>
        <w:tc>
          <w:tcPr>
            <w:tcW w:w="1725" w:type="dxa"/>
            <w:vMerge w:val="restart"/>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rPr>
              <w:t>精品课程：2篇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140" w:type="dxa"/>
            <w:vMerge w:val="continue"/>
            <w:shd w:val="clear" w:color="auto" w:fill="auto"/>
            <w:vAlign w:val="center"/>
          </w:tcPr>
          <w:p>
            <w:pPr>
              <w:jc w:val="center"/>
              <w:rPr>
                <w:rFonts w:hint="eastAsia" w:ascii="仿宋" w:hAnsi="仿宋" w:eastAsia="仿宋" w:cs="仿宋"/>
                <w:color w:val="auto"/>
                <w:sz w:val="24"/>
                <w:szCs w:val="24"/>
                <w:u w:val="none"/>
                <w:vertAlign w:val="baseline"/>
                <w:lang w:val="en-US" w:eastAsia="zh-CN"/>
              </w:rPr>
            </w:pPr>
          </w:p>
        </w:tc>
        <w:tc>
          <w:tcPr>
            <w:tcW w:w="975" w:type="dxa"/>
            <w:vMerge w:val="restart"/>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rPr>
              <w:t>二等奖</w:t>
            </w:r>
          </w:p>
        </w:tc>
        <w:tc>
          <w:tcPr>
            <w:tcW w:w="2550" w:type="dxa"/>
            <w:vMerge w:val="restart"/>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rPr>
              <w:t>排名前</w:t>
            </w:r>
            <w:r>
              <w:rPr>
                <w:rFonts w:hint="eastAsia" w:ascii="仿宋" w:hAnsi="仿宋" w:eastAsia="仿宋" w:cs="仿宋"/>
                <w:b w:val="0"/>
                <w:bCs w:val="0"/>
                <w:color w:val="auto"/>
                <w:sz w:val="24"/>
                <w:szCs w:val="24"/>
                <w:u w:val="none"/>
                <w:lang w:val="en-US" w:eastAsia="zh-CN"/>
              </w:rPr>
              <w:t>4</w:t>
            </w:r>
            <w:r>
              <w:rPr>
                <w:rFonts w:hint="eastAsia" w:ascii="仿宋" w:hAnsi="仿宋" w:eastAsia="仿宋" w:cs="仿宋"/>
                <w:b w:val="0"/>
                <w:bCs w:val="0"/>
                <w:color w:val="auto"/>
                <w:sz w:val="24"/>
                <w:szCs w:val="24"/>
                <w:u w:val="none"/>
              </w:rPr>
              <w:t>位依次分别折算4、3、2</w:t>
            </w: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1</w:t>
            </w:r>
            <w:r>
              <w:rPr>
                <w:rFonts w:hint="eastAsia" w:ascii="仿宋" w:hAnsi="仿宋" w:eastAsia="仿宋" w:cs="仿宋"/>
                <w:b w:val="0"/>
                <w:bCs w:val="0"/>
                <w:color w:val="auto"/>
                <w:sz w:val="24"/>
                <w:szCs w:val="24"/>
                <w:u w:val="none"/>
              </w:rPr>
              <w:t>篇</w:t>
            </w:r>
          </w:p>
        </w:tc>
        <w:tc>
          <w:tcPr>
            <w:tcW w:w="1155" w:type="dxa"/>
            <w:vMerge w:val="continue"/>
            <w:shd w:val="clear" w:color="auto" w:fill="auto"/>
            <w:vAlign w:val="center"/>
          </w:tcPr>
          <w:p>
            <w:pPr>
              <w:spacing w:line="240" w:lineRule="auto"/>
              <w:jc w:val="center"/>
              <w:rPr>
                <w:rFonts w:hint="eastAsia" w:ascii="仿宋" w:hAnsi="仿宋" w:eastAsia="仿宋" w:cs="仿宋"/>
                <w:color w:val="auto"/>
                <w:sz w:val="24"/>
                <w:szCs w:val="24"/>
                <w:u w:val="none"/>
                <w:vertAlign w:val="baseline"/>
                <w:lang w:val="en-US" w:eastAsia="zh-CN"/>
              </w:rPr>
            </w:pPr>
          </w:p>
        </w:tc>
        <w:tc>
          <w:tcPr>
            <w:tcW w:w="1725" w:type="dxa"/>
            <w:vMerge w:val="continue"/>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140" w:type="dxa"/>
            <w:vMerge w:val="continue"/>
            <w:shd w:val="clear" w:color="auto" w:fill="auto"/>
            <w:vAlign w:val="center"/>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u w:val="none"/>
              </w:rPr>
            </w:pPr>
          </w:p>
        </w:tc>
        <w:tc>
          <w:tcPr>
            <w:tcW w:w="975" w:type="dxa"/>
            <w:vMerge w:val="continue"/>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b w:val="0"/>
                <w:bCs w:val="0"/>
                <w:color w:val="auto"/>
                <w:sz w:val="24"/>
                <w:szCs w:val="24"/>
                <w:u w:val="none"/>
              </w:rPr>
            </w:pPr>
          </w:p>
        </w:tc>
        <w:tc>
          <w:tcPr>
            <w:tcW w:w="2550" w:type="dxa"/>
            <w:vMerge w:val="continue"/>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b w:val="0"/>
                <w:bCs w:val="0"/>
                <w:color w:val="auto"/>
                <w:sz w:val="24"/>
                <w:szCs w:val="24"/>
                <w:u w:val="none"/>
              </w:rPr>
            </w:pPr>
          </w:p>
        </w:tc>
        <w:tc>
          <w:tcPr>
            <w:tcW w:w="1155" w:type="dxa"/>
            <w:vMerge w:val="continue"/>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rPr>
            </w:pPr>
          </w:p>
        </w:tc>
        <w:tc>
          <w:tcPr>
            <w:tcW w:w="1725" w:type="dxa"/>
            <w:vMerge w:val="restart"/>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全英语教学示范课程:2篇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140" w:type="dxa"/>
            <w:vMerge w:val="continue"/>
            <w:shd w:val="clear" w:color="auto" w:fill="auto"/>
            <w:vAlign w:val="center"/>
          </w:tcPr>
          <w:p>
            <w:pPr>
              <w:rPr>
                <w:rFonts w:hint="eastAsia" w:ascii="仿宋" w:hAnsi="仿宋" w:eastAsia="仿宋" w:cs="仿宋"/>
                <w:color w:val="auto"/>
                <w:sz w:val="24"/>
                <w:szCs w:val="24"/>
                <w:u w:val="none"/>
                <w:vertAlign w:val="baseline"/>
                <w:lang w:val="en-US" w:eastAsia="zh-CN"/>
              </w:rPr>
            </w:pPr>
          </w:p>
        </w:tc>
        <w:tc>
          <w:tcPr>
            <w:tcW w:w="975" w:type="dxa"/>
            <w:shd w:val="clear" w:color="auto" w:fill="auto"/>
            <w:vAlign w:val="top"/>
          </w:tcPr>
          <w:p>
            <w:pPr>
              <w:pStyle w:val="4"/>
              <w:keepNext w:val="0"/>
              <w:keepLines w:val="0"/>
              <w:widowControl/>
              <w:suppressLineNumbers w:val="0"/>
              <w:spacing w:beforeAutospacing="1" w:afterAutospacing="1" w:line="630" w:lineRule="atLeast"/>
              <w:jc w:val="center"/>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rPr>
              <w:t>三等奖</w:t>
            </w:r>
          </w:p>
        </w:tc>
        <w:tc>
          <w:tcPr>
            <w:tcW w:w="2550"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rPr>
              <w:t>排名前</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rPr>
              <w:t>位依次分别折算3、2、1篇</w:t>
            </w:r>
          </w:p>
        </w:tc>
        <w:tc>
          <w:tcPr>
            <w:tcW w:w="1155" w:type="dxa"/>
            <w:vMerge w:val="continue"/>
          </w:tcPr>
          <w:p>
            <w:pPr>
              <w:widowControl/>
              <w:spacing w:line="240" w:lineRule="auto"/>
              <w:jc w:val="left"/>
              <w:rPr>
                <w:rFonts w:hint="eastAsia" w:ascii="仿宋" w:hAnsi="仿宋" w:eastAsia="仿宋" w:cs="仿宋"/>
                <w:color w:val="auto"/>
                <w:sz w:val="24"/>
                <w:szCs w:val="24"/>
                <w:u w:val="none"/>
                <w:vertAlign w:val="baseline"/>
                <w:lang w:val="en-US" w:eastAsia="zh-CN"/>
              </w:rPr>
            </w:pPr>
          </w:p>
        </w:tc>
        <w:tc>
          <w:tcPr>
            <w:tcW w:w="1725" w:type="dxa"/>
            <w:vMerge w:val="continue"/>
          </w:tcPr>
          <w:p>
            <w:pPr>
              <w:widowControl/>
              <w:spacing w:line="240" w:lineRule="auto"/>
              <w:jc w:val="left"/>
              <w:rPr>
                <w:rFonts w:hint="eastAsia" w:ascii="仿宋" w:hAnsi="仿宋" w:eastAsia="仿宋" w:cs="仿宋"/>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4665" w:type="dxa"/>
            <w:gridSpan w:val="3"/>
            <w:shd w:val="clear" w:color="auto" w:fill="auto"/>
            <w:vAlign w:val="center"/>
          </w:tcPr>
          <w:p>
            <w:pPr>
              <w:widowControl/>
              <w:jc w:val="center"/>
              <w:rPr>
                <w:rStyle w:val="6"/>
                <w:rFonts w:hint="eastAsia" w:ascii="黑体" w:hAnsi="黑体" w:eastAsia="黑体" w:cs="黑体"/>
                <w:color w:val="auto"/>
                <w:sz w:val="24"/>
                <w:szCs w:val="24"/>
                <w:u w:val="none"/>
              </w:rPr>
            </w:pPr>
            <w:r>
              <w:rPr>
                <w:rStyle w:val="6"/>
                <w:rFonts w:hint="eastAsia" w:ascii="黑体" w:hAnsi="黑体" w:eastAsia="黑体" w:cs="黑体"/>
                <w:color w:val="auto"/>
                <w:sz w:val="24"/>
                <w:szCs w:val="24"/>
                <w:u w:val="none"/>
              </w:rPr>
              <w:t>优秀教材奖（项：篇）</w:t>
            </w:r>
          </w:p>
        </w:tc>
        <w:tc>
          <w:tcPr>
            <w:tcW w:w="2880" w:type="dxa"/>
            <w:gridSpan w:val="2"/>
            <w:shd w:val="clear" w:color="auto" w:fill="auto"/>
            <w:vAlign w:val="center"/>
          </w:tcPr>
          <w:p>
            <w:pPr>
              <w:widowControl/>
              <w:jc w:val="center"/>
              <w:rPr>
                <w:rStyle w:val="6"/>
                <w:rFonts w:hint="eastAsia" w:ascii="黑体" w:hAnsi="黑体" w:eastAsia="黑体" w:cs="黑体"/>
                <w:color w:val="auto"/>
                <w:sz w:val="24"/>
                <w:szCs w:val="24"/>
                <w:u w:val="none"/>
              </w:rPr>
            </w:pPr>
            <w:r>
              <w:rPr>
                <w:rStyle w:val="6"/>
                <w:rFonts w:hint="eastAsia" w:ascii="黑体" w:hAnsi="黑体" w:eastAsia="黑体" w:cs="黑体"/>
                <w:color w:val="auto"/>
                <w:sz w:val="24"/>
                <w:szCs w:val="24"/>
                <w:u w:val="none"/>
              </w:rPr>
              <w:t>教学名师奖（项：篇）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40" w:type="dxa"/>
            <w:vMerge w:val="restart"/>
            <w:shd w:val="clear" w:color="auto" w:fill="auto"/>
            <w:vAlign w:val="center"/>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rPr>
              <w:t>省部级</w:t>
            </w:r>
          </w:p>
        </w:tc>
        <w:tc>
          <w:tcPr>
            <w:tcW w:w="975" w:type="dxa"/>
            <w:shd w:val="clear" w:color="auto" w:fill="auto"/>
            <w:vAlign w:val="center"/>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一等奖</w:t>
            </w:r>
          </w:p>
        </w:tc>
        <w:tc>
          <w:tcPr>
            <w:tcW w:w="2550"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2篇</w:t>
            </w:r>
          </w:p>
        </w:tc>
        <w:tc>
          <w:tcPr>
            <w:tcW w:w="1155"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rPr>
              <w:t>国家级</w:t>
            </w:r>
          </w:p>
        </w:tc>
        <w:tc>
          <w:tcPr>
            <w:tcW w:w="1725"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rPr>
              <w:t>6篇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40" w:type="dxa"/>
            <w:vMerge w:val="continue"/>
            <w:shd w:val="clear" w:color="auto" w:fill="auto"/>
            <w:vAlign w:val="center"/>
          </w:tcPr>
          <w:p>
            <w:pPr>
              <w:jc w:val="center"/>
              <w:rPr>
                <w:rFonts w:hint="eastAsia" w:ascii="仿宋" w:hAnsi="仿宋" w:eastAsia="仿宋" w:cs="仿宋"/>
                <w:color w:val="auto"/>
                <w:sz w:val="24"/>
                <w:szCs w:val="24"/>
                <w:u w:val="none"/>
                <w:vertAlign w:val="baseline"/>
                <w:lang w:val="en-US" w:eastAsia="zh-CN"/>
              </w:rPr>
            </w:pPr>
          </w:p>
        </w:tc>
        <w:tc>
          <w:tcPr>
            <w:tcW w:w="975" w:type="dxa"/>
            <w:shd w:val="clear" w:color="auto" w:fill="auto"/>
            <w:vAlign w:val="center"/>
          </w:tcPr>
          <w:p>
            <w:pPr>
              <w:pStyle w:val="4"/>
              <w:keepNext w:val="0"/>
              <w:keepLines w:val="0"/>
              <w:widowControl/>
              <w:suppressLineNumbers w:val="0"/>
              <w:spacing w:beforeAutospacing="1" w:afterAutospacing="1" w:line="630" w:lineRule="atLeast"/>
              <w:jc w:val="center"/>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二等奖</w:t>
            </w:r>
          </w:p>
        </w:tc>
        <w:tc>
          <w:tcPr>
            <w:tcW w:w="2550"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1篇</w:t>
            </w:r>
          </w:p>
        </w:tc>
        <w:tc>
          <w:tcPr>
            <w:tcW w:w="1155"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rPr>
              <w:t>省部级</w:t>
            </w:r>
          </w:p>
        </w:tc>
        <w:tc>
          <w:tcPr>
            <w:tcW w:w="1725" w:type="dxa"/>
            <w:shd w:val="clear" w:color="auto" w:fill="auto"/>
            <w:vAlign w:val="center"/>
          </w:tcPr>
          <w:p>
            <w:pPr>
              <w:pStyle w:val="4"/>
              <w:keepNext w:val="0"/>
              <w:keepLines w:val="0"/>
              <w:widowControl/>
              <w:suppressLineNumbers w:val="0"/>
              <w:spacing w:beforeAutospacing="1" w:afterAutospacing="1" w:line="240" w:lineRule="auto"/>
              <w:jc w:val="center"/>
              <w:rPr>
                <w:rFonts w:hint="eastAsia" w:ascii="仿宋" w:hAnsi="仿宋" w:eastAsia="仿宋" w:cs="仿宋"/>
                <w:color w:val="auto"/>
                <w:sz w:val="24"/>
                <w:szCs w:val="24"/>
                <w:u w:val="none"/>
                <w:vertAlign w:val="baseline"/>
                <w:lang w:val="en-US" w:eastAsia="zh-CN"/>
              </w:rPr>
            </w:pPr>
            <w:r>
              <w:rPr>
                <w:rFonts w:hint="eastAsia" w:ascii="仿宋" w:hAnsi="仿宋" w:eastAsia="仿宋" w:cs="仿宋"/>
                <w:color w:val="auto"/>
                <w:sz w:val="24"/>
                <w:szCs w:val="24"/>
                <w:u w:val="none"/>
              </w:rPr>
              <w:t>4篇</w:t>
            </w:r>
          </w:p>
        </w:tc>
      </w:tr>
    </w:tbl>
    <w:p>
      <w:pPr>
        <w:widowControl/>
        <w:jc w:val="both"/>
        <w:rPr>
          <w:rFonts w:hint="eastAsia" w:ascii="仿宋" w:hAnsi="仿宋" w:eastAsia="仿宋" w:cs="仿宋"/>
          <w:b/>
          <w:color w:val="auto"/>
          <w:sz w:val="24"/>
          <w:szCs w:val="24"/>
          <w:u w:val="none"/>
          <w:lang w:eastAsia="zh-CN"/>
        </w:rPr>
      </w:pPr>
    </w:p>
    <w:p>
      <w:pPr>
        <w:widowControl/>
        <w:jc w:val="both"/>
        <w:rPr>
          <w:rFonts w:hint="eastAsia" w:ascii="仿宋" w:hAnsi="仿宋" w:eastAsia="仿宋" w:cs="仿宋"/>
          <w:b w:val="0"/>
          <w:bCs/>
          <w:color w:val="auto"/>
          <w:sz w:val="28"/>
          <w:szCs w:val="28"/>
          <w:u w:val="none"/>
          <w:lang w:val="en-US" w:eastAsia="zh-CN"/>
        </w:rPr>
      </w:pPr>
      <w:r>
        <w:rPr>
          <w:rFonts w:hint="eastAsia" w:ascii="黑体" w:hAnsi="黑体" w:eastAsia="黑体" w:cs="黑体"/>
          <w:b/>
          <w:bCs w:val="0"/>
          <w:color w:val="auto"/>
          <w:sz w:val="28"/>
          <w:szCs w:val="28"/>
          <w:u w:val="none"/>
          <w:lang w:val="en-US" w:eastAsia="zh-CN"/>
        </w:rPr>
        <w:t>注：</w:t>
      </w:r>
    </w:p>
    <w:p>
      <w:pPr>
        <w:widowControl/>
        <w:ind w:firstLine="560" w:firstLineChars="200"/>
        <w:jc w:val="both"/>
        <w:rPr>
          <w:rFonts w:hint="eastAsia" w:ascii="仿宋" w:hAnsi="仿宋" w:eastAsia="仿宋" w:cs="仿宋"/>
          <w:color w:val="auto"/>
          <w:kern w:val="0"/>
          <w:sz w:val="28"/>
          <w:szCs w:val="28"/>
          <w:u w:val="none"/>
        </w:rPr>
      </w:pPr>
      <w:r>
        <w:rPr>
          <w:rFonts w:hint="eastAsia" w:ascii="仿宋" w:hAnsi="仿宋" w:eastAsia="仿宋" w:cs="仿宋"/>
          <w:b w:val="0"/>
          <w:bCs/>
          <w:color w:val="auto"/>
          <w:sz w:val="28"/>
          <w:szCs w:val="28"/>
          <w:u w:val="none"/>
          <w:lang w:val="en-US" w:eastAsia="zh-CN"/>
        </w:rPr>
        <w:t>1.</w:t>
      </w:r>
      <w:r>
        <w:rPr>
          <w:rFonts w:hint="eastAsia" w:ascii="仿宋" w:hAnsi="仿宋" w:eastAsia="仿宋" w:cs="仿宋"/>
          <w:color w:val="auto"/>
          <w:kern w:val="0"/>
          <w:sz w:val="28"/>
          <w:szCs w:val="28"/>
          <w:u w:val="none"/>
        </w:rPr>
        <w:t>聘期内作为第一负责人主持的课程建设项目，国家级精品课程、双语教学示范课程立项时以2篇核心期刊统计；省部级精品课程、全英语教学示范课程立项时以1篇核心期刊统计；按时通过鉴定验收后，按照上表相应折合篇数扣除立项时统计篇数后统计；项目延期完成的，不予统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color w:val="auto"/>
          <w:kern w:val="0"/>
          <w:sz w:val="28"/>
          <w:szCs w:val="28"/>
          <w:u w:val="none"/>
        </w:rPr>
      </w:pPr>
      <w:r>
        <w:rPr>
          <w:rFonts w:hint="eastAsia" w:ascii="仿宋" w:hAnsi="仿宋" w:eastAsia="仿宋" w:cs="仿宋"/>
          <w:color w:val="auto"/>
          <w:kern w:val="0"/>
          <w:sz w:val="28"/>
          <w:szCs w:val="28"/>
          <w:u w:val="none"/>
          <w:lang w:val="en-US" w:eastAsia="zh-CN"/>
        </w:rPr>
        <w:t>2.</w:t>
      </w:r>
      <w:r>
        <w:rPr>
          <w:rFonts w:hint="eastAsia" w:ascii="仿宋" w:hAnsi="仿宋" w:eastAsia="仿宋" w:cs="仿宋"/>
          <w:color w:val="auto"/>
          <w:kern w:val="0"/>
          <w:sz w:val="28"/>
          <w:szCs w:val="28"/>
          <w:u w:val="none"/>
        </w:rPr>
        <w:t>某一课程建设项目或教学成果获奖在聘期内获得更高级别立项或奖励，可按照较高级别项目或获奖折算一般核心期刊论文篇数办法追加补足，但不可重复折算。</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color w:val="auto"/>
          <w:kern w:val="0"/>
          <w:sz w:val="28"/>
          <w:szCs w:val="28"/>
          <w:u w:val="none"/>
        </w:rPr>
      </w:pPr>
      <w:r>
        <w:rPr>
          <w:rFonts w:hint="eastAsia" w:ascii="仿宋" w:hAnsi="仿宋" w:eastAsia="仿宋" w:cs="仿宋"/>
          <w:color w:val="auto"/>
          <w:kern w:val="0"/>
          <w:sz w:val="28"/>
          <w:szCs w:val="28"/>
          <w:u w:val="none"/>
        </w:rPr>
        <w:t>（</w:t>
      </w:r>
      <w:r>
        <w:rPr>
          <w:rFonts w:hint="eastAsia" w:ascii="仿宋" w:hAnsi="仿宋" w:eastAsia="仿宋" w:cs="仿宋"/>
          <w:color w:val="auto"/>
          <w:kern w:val="0"/>
          <w:sz w:val="28"/>
          <w:szCs w:val="28"/>
          <w:u w:val="none"/>
          <w:lang w:eastAsia="zh-CN"/>
        </w:rPr>
        <w:t>七</w:t>
      </w:r>
      <w:r>
        <w:rPr>
          <w:rFonts w:hint="eastAsia" w:ascii="仿宋" w:hAnsi="仿宋" w:eastAsia="仿宋" w:cs="仿宋"/>
          <w:color w:val="auto"/>
          <w:kern w:val="0"/>
          <w:sz w:val="28"/>
          <w:szCs w:val="28"/>
          <w:u w:val="none"/>
        </w:rPr>
        <w:t>）论文经下列学术报刊转载的，按转载报刊就高计算得分，不重复计算原发刊物的得分。被《新华文摘》转载的，按照40分/千字计分；被《中国社会科学文摘》转摘的，按照30分/千字计分；被中国人民大学《报刊复印资料》转载的，按照20分/千字计分；被《高等学校文科学术文摘》、《报刊文摘》转摘的，按照15分/千字计分。跨年度转载的，次年补计原发与转载的差额分。</w:t>
      </w:r>
    </w:p>
    <w:p>
      <w:pPr>
        <w:widowControl/>
        <w:ind w:firstLine="600" w:firstLineChars="200"/>
        <w:jc w:val="left"/>
        <w:rPr>
          <w:rFonts w:hint="eastAsia" w:ascii="仿宋" w:hAnsi="仿宋" w:eastAsia="仿宋" w:cs="仿宋"/>
          <w:b w:val="0"/>
          <w:bCs w:val="0"/>
          <w:color w:val="auto"/>
          <w:kern w:val="0"/>
          <w:sz w:val="30"/>
          <w:szCs w:val="30"/>
          <w:u w:val="none"/>
        </w:rPr>
      </w:pPr>
      <w:r>
        <w:rPr>
          <w:rFonts w:hint="eastAsia" w:ascii="仿宋" w:hAnsi="仿宋" w:eastAsia="仿宋" w:cs="仿宋"/>
          <w:b w:val="0"/>
          <w:bCs w:val="0"/>
          <w:color w:val="auto"/>
          <w:kern w:val="0"/>
          <w:sz w:val="30"/>
          <w:szCs w:val="30"/>
          <w:u w:val="none"/>
        </w:rPr>
        <w:t>（</w:t>
      </w:r>
      <w:r>
        <w:rPr>
          <w:rFonts w:hint="eastAsia" w:ascii="仿宋" w:hAnsi="仿宋" w:eastAsia="仿宋" w:cs="仿宋"/>
          <w:b w:val="0"/>
          <w:bCs w:val="0"/>
          <w:color w:val="auto"/>
          <w:kern w:val="0"/>
          <w:sz w:val="30"/>
          <w:szCs w:val="30"/>
          <w:u w:val="none"/>
          <w:lang w:eastAsia="zh-CN"/>
        </w:rPr>
        <w:t>八</w:t>
      </w:r>
      <w:r>
        <w:rPr>
          <w:rFonts w:hint="eastAsia" w:ascii="仿宋" w:hAnsi="仿宋" w:eastAsia="仿宋" w:cs="仿宋"/>
          <w:b w:val="0"/>
          <w:bCs w:val="0"/>
          <w:color w:val="auto"/>
          <w:kern w:val="0"/>
          <w:sz w:val="30"/>
          <w:szCs w:val="30"/>
          <w:u w:val="none"/>
        </w:rPr>
        <w:t>）论文经下列学术报刊转载的，按转载报刊就高计算得分，不重复计算原发刊物的得分。被《新华文摘》转载的，按照40分/千字计分；被《中国社会科学文摘》转摘的，按照30分/千字计分；被中国人民大学《报刊复印资料》转载的，按照20分/千字计分；被《高等学校文科学术文摘》、《报刊文摘》转摘的，按照15分/千字计分。</w:t>
      </w:r>
    </w:p>
    <w:p>
      <w:pPr>
        <w:widowControl/>
        <w:ind w:firstLine="300" w:firstLineChars="100"/>
        <w:jc w:val="left"/>
        <w:rPr>
          <w:rFonts w:hint="eastAsia" w:ascii="仿宋" w:hAnsi="仿宋" w:eastAsia="仿宋" w:cs="仿宋"/>
          <w:b w:val="0"/>
          <w:bCs w:val="0"/>
          <w:color w:val="auto"/>
          <w:kern w:val="0"/>
          <w:sz w:val="30"/>
          <w:szCs w:val="30"/>
          <w:u w:val="none"/>
        </w:rPr>
      </w:pPr>
      <w:r>
        <w:rPr>
          <w:rFonts w:hint="eastAsia" w:ascii="仿宋" w:hAnsi="仿宋" w:eastAsia="仿宋" w:cs="仿宋"/>
          <w:b w:val="0"/>
          <w:bCs w:val="0"/>
          <w:color w:val="auto"/>
          <w:kern w:val="0"/>
          <w:sz w:val="30"/>
          <w:szCs w:val="30"/>
          <w:u w:val="none"/>
        </w:rPr>
        <w:t>跨年度转载的，次年补计原发与转载的差额分。</w:t>
      </w:r>
    </w:p>
    <w:p>
      <w:pPr>
        <w:widowControl/>
        <w:ind w:firstLine="300" w:firstLineChars="100"/>
        <w:jc w:val="left"/>
        <w:rPr>
          <w:rFonts w:hint="eastAsia" w:ascii="仿宋" w:hAnsi="仿宋" w:eastAsia="仿宋" w:cs="仿宋"/>
          <w:b w:val="0"/>
          <w:bCs w:val="0"/>
          <w:color w:val="auto"/>
          <w:kern w:val="0"/>
          <w:sz w:val="30"/>
          <w:szCs w:val="30"/>
          <w:u w:val="none"/>
        </w:rPr>
      </w:pPr>
      <w:r>
        <w:rPr>
          <w:rFonts w:hint="eastAsia" w:ascii="仿宋" w:hAnsi="仿宋" w:eastAsia="仿宋" w:cs="仿宋"/>
          <w:b w:val="0"/>
          <w:bCs w:val="0"/>
          <w:color w:val="auto"/>
          <w:kern w:val="0"/>
          <w:sz w:val="30"/>
          <w:szCs w:val="30"/>
          <w:u w:val="none"/>
        </w:rPr>
        <w:t>（</w:t>
      </w:r>
      <w:r>
        <w:rPr>
          <w:rFonts w:hint="eastAsia" w:ascii="仿宋" w:hAnsi="仿宋" w:eastAsia="仿宋" w:cs="仿宋"/>
          <w:b w:val="0"/>
          <w:bCs w:val="0"/>
          <w:color w:val="auto"/>
          <w:kern w:val="0"/>
          <w:sz w:val="30"/>
          <w:szCs w:val="30"/>
          <w:u w:val="none"/>
          <w:lang w:eastAsia="zh-CN"/>
        </w:rPr>
        <w:t>九</w:t>
      </w:r>
      <w:r>
        <w:rPr>
          <w:rFonts w:hint="eastAsia" w:ascii="仿宋" w:hAnsi="仿宋" w:eastAsia="仿宋" w:cs="仿宋"/>
          <w:b w:val="0"/>
          <w:bCs w:val="0"/>
          <w:color w:val="auto"/>
          <w:kern w:val="0"/>
          <w:sz w:val="30"/>
          <w:szCs w:val="30"/>
          <w:u w:val="none"/>
        </w:rPr>
        <w:t>）本条（</w:t>
      </w:r>
      <w:r>
        <w:rPr>
          <w:rFonts w:hint="eastAsia" w:ascii="仿宋" w:hAnsi="仿宋" w:eastAsia="仿宋" w:cs="仿宋"/>
          <w:b w:val="0"/>
          <w:bCs w:val="0"/>
          <w:color w:val="auto"/>
          <w:kern w:val="0"/>
          <w:sz w:val="30"/>
          <w:szCs w:val="30"/>
          <w:u w:val="none"/>
          <w:lang w:eastAsia="zh-CN"/>
        </w:rPr>
        <w:t>七</w:t>
      </w:r>
      <w:r>
        <w:rPr>
          <w:rFonts w:hint="eastAsia" w:ascii="仿宋" w:hAnsi="仿宋" w:eastAsia="仿宋" w:cs="仿宋"/>
          <w:b w:val="0"/>
          <w:bCs w:val="0"/>
          <w:color w:val="auto"/>
          <w:kern w:val="0"/>
          <w:sz w:val="30"/>
          <w:szCs w:val="30"/>
          <w:u w:val="none"/>
        </w:rPr>
        <w:t>）以外刊物、论文集转载的论文，不重复计算得分。</w:t>
      </w:r>
    </w:p>
    <w:p>
      <w:pPr>
        <w:widowControl/>
        <w:ind w:firstLine="300" w:firstLineChars="100"/>
        <w:jc w:val="left"/>
        <w:rPr>
          <w:rFonts w:hint="eastAsia" w:ascii="仿宋" w:hAnsi="仿宋" w:eastAsia="仿宋" w:cs="仿宋"/>
          <w:b w:val="0"/>
          <w:bCs w:val="0"/>
          <w:color w:val="auto"/>
          <w:kern w:val="0"/>
          <w:sz w:val="30"/>
          <w:szCs w:val="30"/>
          <w:u w:val="none"/>
        </w:rPr>
      </w:pPr>
      <w:r>
        <w:rPr>
          <w:rFonts w:hint="eastAsia" w:ascii="仿宋" w:hAnsi="仿宋" w:eastAsia="仿宋" w:cs="仿宋"/>
          <w:b w:val="0"/>
          <w:bCs w:val="0"/>
          <w:color w:val="auto"/>
          <w:kern w:val="0"/>
          <w:sz w:val="30"/>
          <w:szCs w:val="30"/>
          <w:u w:val="none"/>
        </w:rPr>
        <w:t>（</w:t>
      </w:r>
      <w:r>
        <w:rPr>
          <w:rFonts w:hint="eastAsia" w:ascii="仿宋" w:hAnsi="仿宋" w:eastAsia="仿宋" w:cs="仿宋"/>
          <w:b w:val="0"/>
          <w:bCs w:val="0"/>
          <w:color w:val="auto"/>
          <w:kern w:val="0"/>
          <w:sz w:val="30"/>
          <w:szCs w:val="30"/>
          <w:u w:val="none"/>
          <w:lang w:eastAsia="zh-CN"/>
        </w:rPr>
        <w:t>十</w:t>
      </w:r>
      <w:r>
        <w:rPr>
          <w:rFonts w:hint="eastAsia" w:ascii="仿宋" w:hAnsi="仿宋" w:eastAsia="仿宋" w:cs="仿宋"/>
          <w:b w:val="0"/>
          <w:bCs w:val="0"/>
          <w:color w:val="auto"/>
          <w:kern w:val="0"/>
          <w:sz w:val="30"/>
          <w:szCs w:val="30"/>
          <w:u w:val="none"/>
        </w:rPr>
        <w:t>）收入论文集的论文以该论文集的书号或者准印证作为计分的依据。</w:t>
      </w:r>
    </w:p>
    <w:p>
      <w:pPr>
        <w:widowControl/>
        <w:ind w:firstLine="300" w:firstLineChars="100"/>
        <w:jc w:val="left"/>
        <w:rPr>
          <w:rFonts w:hint="eastAsia" w:ascii="仿宋" w:hAnsi="仿宋" w:eastAsia="仿宋" w:cs="仿宋"/>
          <w:color w:val="auto"/>
          <w:sz w:val="30"/>
          <w:szCs w:val="30"/>
          <w:u w:val="none"/>
          <w:lang w:val="en-US" w:eastAsia="zh-CN"/>
        </w:rPr>
      </w:pPr>
      <w:r>
        <w:rPr>
          <w:rFonts w:hint="eastAsia" w:ascii="仿宋" w:hAnsi="仿宋" w:eastAsia="仿宋" w:cs="仿宋"/>
          <w:b w:val="0"/>
          <w:bCs w:val="0"/>
          <w:color w:val="auto"/>
          <w:kern w:val="0"/>
          <w:sz w:val="30"/>
          <w:szCs w:val="30"/>
          <w:u w:val="none"/>
        </w:rPr>
        <w:t>（</w:t>
      </w:r>
      <w:r>
        <w:rPr>
          <w:rFonts w:hint="eastAsia" w:ascii="仿宋" w:hAnsi="仿宋" w:eastAsia="仿宋" w:cs="仿宋"/>
          <w:b w:val="0"/>
          <w:bCs w:val="0"/>
          <w:color w:val="auto"/>
          <w:kern w:val="0"/>
          <w:sz w:val="30"/>
          <w:szCs w:val="30"/>
          <w:u w:val="none"/>
          <w:lang w:val="en-US" w:eastAsia="zh-CN"/>
        </w:rPr>
        <w:t>十一</w:t>
      </w:r>
      <w:r>
        <w:rPr>
          <w:rFonts w:hint="eastAsia" w:ascii="仿宋" w:hAnsi="仿宋" w:eastAsia="仿宋" w:cs="仿宋"/>
          <w:b w:val="0"/>
          <w:bCs w:val="0"/>
          <w:color w:val="auto"/>
          <w:kern w:val="0"/>
          <w:sz w:val="30"/>
          <w:szCs w:val="30"/>
          <w:u w:val="none"/>
        </w:rPr>
        <w:t>）承接外单位人员为第一主编的教材、编著、译著等任务，或者参与外单位负责的课题，或者与外单位人员合著的成果已经正式出版，标注本校参与人姓名及撰稿量的，按照其撰稿量计分。出版物中明示撰稿人及撰稿数量的，以明示作为计分的根据；未</w:t>
      </w:r>
      <w:r>
        <w:rPr>
          <w:rFonts w:hint="eastAsia" w:ascii="仿宋" w:hAnsi="仿宋" w:eastAsia="仿宋" w:cs="仿宋"/>
          <w:color w:val="auto"/>
          <w:kern w:val="0"/>
          <w:sz w:val="30"/>
          <w:szCs w:val="30"/>
          <w:u w:val="none"/>
        </w:rPr>
        <w:t>明示的，按照出版社提供的书面证明计分。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lang w:eastAsia="zh-CN"/>
        </w:rPr>
        <w:t>第十五条 违规情况的处理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 w:hAnsi="仿宋" w:eastAsia="仿宋" w:cs="仿宋"/>
          <w:color w:val="auto"/>
          <w:sz w:val="30"/>
          <w:szCs w:val="30"/>
          <w:u w:val="none"/>
          <w:lang w:val="en-US" w:eastAsia="zh-CN"/>
        </w:rPr>
      </w:pPr>
      <w:r>
        <w:rPr>
          <w:rFonts w:hint="eastAsia" w:ascii="仿宋" w:hAnsi="仿宋" w:eastAsia="仿宋" w:cs="仿宋"/>
          <w:color w:val="auto"/>
          <w:kern w:val="0"/>
          <w:sz w:val="30"/>
          <w:szCs w:val="30"/>
          <w:u w:val="none"/>
        </w:rPr>
        <w:t>在申报科研成果过程中存在弄虚作假等违规行为，或者违反学术规范的不端行为，一经发现，对行为人的申报成果不予认可；已经确认的，予以撤销。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center"/>
        <w:outlineLvl w:val="9"/>
        <w:rPr>
          <w:rFonts w:hint="eastAsia" w:ascii="黑体" w:hAnsi="黑体" w:eastAsia="黑体" w:cs="黑体"/>
          <w:b/>
          <w:bCs/>
          <w:color w:val="auto"/>
          <w:kern w:val="0"/>
          <w:sz w:val="30"/>
          <w:szCs w:val="30"/>
          <w:u w:val="none"/>
        </w:rPr>
      </w:pPr>
      <w:r>
        <w:rPr>
          <w:rFonts w:hint="eastAsia" w:ascii="黑体" w:hAnsi="黑体" w:eastAsia="黑体" w:cs="黑体"/>
          <w:b/>
          <w:bCs/>
          <w:color w:val="auto"/>
          <w:kern w:val="0"/>
          <w:sz w:val="30"/>
          <w:szCs w:val="30"/>
          <w:u w:val="none"/>
          <w:lang w:eastAsia="zh-CN"/>
        </w:rPr>
        <w:t>第十六条 执行与解释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color w:val="auto"/>
          <w:sz w:val="24"/>
          <w:szCs w:val="24"/>
          <w:u w:val="none"/>
        </w:rPr>
      </w:pPr>
      <w:r>
        <w:rPr>
          <w:rFonts w:hint="eastAsia" w:ascii="仿宋" w:hAnsi="仿宋" w:eastAsia="仿宋" w:cs="仿宋"/>
          <w:color w:val="auto"/>
          <w:kern w:val="0"/>
          <w:sz w:val="30"/>
          <w:szCs w:val="30"/>
          <w:u w:val="none"/>
        </w:rPr>
        <w:t>本办法自印发之日起执行，并由科研处负责解释。</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307A7"/>
    <w:multiLevelType w:val="singleLevel"/>
    <w:tmpl w:val="5A5307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0781A"/>
    <w:rsid w:val="00DA56D8"/>
    <w:rsid w:val="00DF6EB5"/>
    <w:rsid w:val="00F72D49"/>
    <w:rsid w:val="01D01B26"/>
    <w:rsid w:val="01EE4B09"/>
    <w:rsid w:val="02D744D8"/>
    <w:rsid w:val="03AF2CB4"/>
    <w:rsid w:val="040135BF"/>
    <w:rsid w:val="044B2CDF"/>
    <w:rsid w:val="04D34FB1"/>
    <w:rsid w:val="052927D0"/>
    <w:rsid w:val="05F27692"/>
    <w:rsid w:val="060E408F"/>
    <w:rsid w:val="06B80C07"/>
    <w:rsid w:val="07CE7ECA"/>
    <w:rsid w:val="08C76A4A"/>
    <w:rsid w:val="090E49D6"/>
    <w:rsid w:val="0A28590E"/>
    <w:rsid w:val="0ABD04F6"/>
    <w:rsid w:val="0AC8301F"/>
    <w:rsid w:val="0B7721AC"/>
    <w:rsid w:val="0BDB650C"/>
    <w:rsid w:val="0C96061E"/>
    <w:rsid w:val="0CC1511E"/>
    <w:rsid w:val="0D1B63DD"/>
    <w:rsid w:val="0E021176"/>
    <w:rsid w:val="0EDF0A8E"/>
    <w:rsid w:val="0F022BA5"/>
    <w:rsid w:val="0F095D17"/>
    <w:rsid w:val="0F570AC3"/>
    <w:rsid w:val="0F674903"/>
    <w:rsid w:val="10605E6A"/>
    <w:rsid w:val="10D72115"/>
    <w:rsid w:val="113B1548"/>
    <w:rsid w:val="12416C33"/>
    <w:rsid w:val="12C303E3"/>
    <w:rsid w:val="12D544AA"/>
    <w:rsid w:val="1308509C"/>
    <w:rsid w:val="135A0AD0"/>
    <w:rsid w:val="1421739C"/>
    <w:rsid w:val="14435AC2"/>
    <w:rsid w:val="14730E76"/>
    <w:rsid w:val="14907E57"/>
    <w:rsid w:val="15096564"/>
    <w:rsid w:val="159F1C05"/>
    <w:rsid w:val="16137C49"/>
    <w:rsid w:val="1638251C"/>
    <w:rsid w:val="16F764C7"/>
    <w:rsid w:val="174328E6"/>
    <w:rsid w:val="17CB492D"/>
    <w:rsid w:val="18B47854"/>
    <w:rsid w:val="19A7229E"/>
    <w:rsid w:val="1AAB2B1B"/>
    <w:rsid w:val="1B0E0EDD"/>
    <w:rsid w:val="1B5C5759"/>
    <w:rsid w:val="1B626A84"/>
    <w:rsid w:val="1B924CEA"/>
    <w:rsid w:val="1EC96B2D"/>
    <w:rsid w:val="1FEC1D82"/>
    <w:rsid w:val="20E76FB7"/>
    <w:rsid w:val="211841B2"/>
    <w:rsid w:val="214627E0"/>
    <w:rsid w:val="21AE2328"/>
    <w:rsid w:val="220E5EE0"/>
    <w:rsid w:val="23A12C8F"/>
    <w:rsid w:val="23DD452A"/>
    <w:rsid w:val="23E17831"/>
    <w:rsid w:val="242D0F22"/>
    <w:rsid w:val="24807ADE"/>
    <w:rsid w:val="24D07015"/>
    <w:rsid w:val="25421713"/>
    <w:rsid w:val="256C5CBA"/>
    <w:rsid w:val="25A317C0"/>
    <w:rsid w:val="25D70904"/>
    <w:rsid w:val="27525D0D"/>
    <w:rsid w:val="27ED114E"/>
    <w:rsid w:val="28E96241"/>
    <w:rsid w:val="29F1134D"/>
    <w:rsid w:val="2A000B48"/>
    <w:rsid w:val="2A993ED8"/>
    <w:rsid w:val="2AD6207A"/>
    <w:rsid w:val="2AF45EEA"/>
    <w:rsid w:val="2B0F3047"/>
    <w:rsid w:val="2B13159A"/>
    <w:rsid w:val="2B8065BB"/>
    <w:rsid w:val="2BDC0FF1"/>
    <w:rsid w:val="2CE229C1"/>
    <w:rsid w:val="2CEE6D3F"/>
    <w:rsid w:val="2CF736B0"/>
    <w:rsid w:val="2D1A0983"/>
    <w:rsid w:val="2D1F1F58"/>
    <w:rsid w:val="2D543020"/>
    <w:rsid w:val="2E2D030C"/>
    <w:rsid w:val="2E3B01C6"/>
    <w:rsid w:val="2E6C0901"/>
    <w:rsid w:val="2E942D6A"/>
    <w:rsid w:val="2EE536FD"/>
    <w:rsid w:val="2F1B2555"/>
    <w:rsid w:val="2F6409A6"/>
    <w:rsid w:val="2F791E8E"/>
    <w:rsid w:val="306C3CC3"/>
    <w:rsid w:val="30B003E7"/>
    <w:rsid w:val="3152317A"/>
    <w:rsid w:val="31C24F22"/>
    <w:rsid w:val="32F375C0"/>
    <w:rsid w:val="33846A94"/>
    <w:rsid w:val="360E5C51"/>
    <w:rsid w:val="36431E7B"/>
    <w:rsid w:val="3690781A"/>
    <w:rsid w:val="36D43203"/>
    <w:rsid w:val="37535214"/>
    <w:rsid w:val="379F4A97"/>
    <w:rsid w:val="388F3251"/>
    <w:rsid w:val="389847B8"/>
    <w:rsid w:val="39897A6F"/>
    <w:rsid w:val="39BE7DDF"/>
    <w:rsid w:val="3A303C30"/>
    <w:rsid w:val="3AF0324B"/>
    <w:rsid w:val="3B176307"/>
    <w:rsid w:val="3B6A5564"/>
    <w:rsid w:val="3C175761"/>
    <w:rsid w:val="3C6C1224"/>
    <w:rsid w:val="3C8E3B6F"/>
    <w:rsid w:val="3CA80B81"/>
    <w:rsid w:val="3E2F6AEB"/>
    <w:rsid w:val="3E3D29CB"/>
    <w:rsid w:val="3F956430"/>
    <w:rsid w:val="411A3807"/>
    <w:rsid w:val="414B3838"/>
    <w:rsid w:val="418C11C8"/>
    <w:rsid w:val="42F655F4"/>
    <w:rsid w:val="42FE36A5"/>
    <w:rsid w:val="43993250"/>
    <w:rsid w:val="43A46934"/>
    <w:rsid w:val="44132C76"/>
    <w:rsid w:val="45180F7D"/>
    <w:rsid w:val="45CA561E"/>
    <w:rsid w:val="45F43820"/>
    <w:rsid w:val="46E037F2"/>
    <w:rsid w:val="46F11A27"/>
    <w:rsid w:val="46F505E3"/>
    <w:rsid w:val="48076F41"/>
    <w:rsid w:val="48982DFA"/>
    <w:rsid w:val="48C24117"/>
    <w:rsid w:val="49730178"/>
    <w:rsid w:val="49F76C7B"/>
    <w:rsid w:val="4A382192"/>
    <w:rsid w:val="4A4A65F8"/>
    <w:rsid w:val="4ABB140E"/>
    <w:rsid w:val="4C3F1CF3"/>
    <w:rsid w:val="4C432331"/>
    <w:rsid w:val="4C8542A6"/>
    <w:rsid w:val="4C966B55"/>
    <w:rsid w:val="4CE5329D"/>
    <w:rsid w:val="4D2A070F"/>
    <w:rsid w:val="4E2A03D1"/>
    <w:rsid w:val="4E3D6AA0"/>
    <w:rsid w:val="4E432630"/>
    <w:rsid w:val="4E6F495B"/>
    <w:rsid w:val="4EA455DD"/>
    <w:rsid w:val="4F3367C0"/>
    <w:rsid w:val="4F71641B"/>
    <w:rsid w:val="501D0045"/>
    <w:rsid w:val="50BD05EB"/>
    <w:rsid w:val="51E13EC3"/>
    <w:rsid w:val="52271A95"/>
    <w:rsid w:val="53316A53"/>
    <w:rsid w:val="544428FD"/>
    <w:rsid w:val="559B1AFA"/>
    <w:rsid w:val="55A104B7"/>
    <w:rsid w:val="565D015D"/>
    <w:rsid w:val="56D63DF1"/>
    <w:rsid w:val="56FC0B2E"/>
    <w:rsid w:val="57347B1B"/>
    <w:rsid w:val="57E30374"/>
    <w:rsid w:val="57FF3586"/>
    <w:rsid w:val="58316EEB"/>
    <w:rsid w:val="58E24F86"/>
    <w:rsid w:val="5B785833"/>
    <w:rsid w:val="5B927A9B"/>
    <w:rsid w:val="5C327C42"/>
    <w:rsid w:val="5D9F4A0E"/>
    <w:rsid w:val="5DF95644"/>
    <w:rsid w:val="5E9E08A8"/>
    <w:rsid w:val="5EBE0D84"/>
    <w:rsid w:val="5EC64603"/>
    <w:rsid w:val="5F0664BC"/>
    <w:rsid w:val="5FC24C68"/>
    <w:rsid w:val="5FC51C66"/>
    <w:rsid w:val="5FC72A8B"/>
    <w:rsid w:val="5FE94F15"/>
    <w:rsid w:val="6014717D"/>
    <w:rsid w:val="601B2933"/>
    <w:rsid w:val="60A43C09"/>
    <w:rsid w:val="61FD3D86"/>
    <w:rsid w:val="6258478D"/>
    <w:rsid w:val="626B1C6C"/>
    <w:rsid w:val="62C27918"/>
    <w:rsid w:val="645236F5"/>
    <w:rsid w:val="64581A83"/>
    <w:rsid w:val="651A6F7C"/>
    <w:rsid w:val="651D0856"/>
    <w:rsid w:val="65AD3026"/>
    <w:rsid w:val="666E7765"/>
    <w:rsid w:val="67174803"/>
    <w:rsid w:val="67436B7C"/>
    <w:rsid w:val="67921661"/>
    <w:rsid w:val="67F940E5"/>
    <w:rsid w:val="6841459D"/>
    <w:rsid w:val="693D3642"/>
    <w:rsid w:val="695B0642"/>
    <w:rsid w:val="69752E83"/>
    <w:rsid w:val="69DB2187"/>
    <w:rsid w:val="69F67CF0"/>
    <w:rsid w:val="6AF43A36"/>
    <w:rsid w:val="6B2F1015"/>
    <w:rsid w:val="6C846048"/>
    <w:rsid w:val="6CC11F28"/>
    <w:rsid w:val="6CC42035"/>
    <w:rsid w:val="6E6E77FD"/>
    <w:rsid w:val="6E8B70D7"/>
    <w:rsid w:val="70AF6B50"/>
    <w:rsid w:val="70C10181"/>
    <w:rsid w:val="71930B28"/>
    <w:rsid w:val="71E8669B"/>
    <w:rsid w:val="71FF5694"/>
    <w:rsid w:val="721752D1"/>
    <w:rsid w:val="72E91AC5"/>
    <w:rsid w:val="731B4C4E"/>
    <w:rsid w:val="742D1BCB"/>
    <w:rsid w:val="744E6454"/>
    <w:rsid w:val="74E92A7E"/>
    <w:rsid w:val="755F0E09"/>
    <w:rsid w:val="75712B21"/>
    <w:rsid w:val="758343E2"/>
    <w:rsid w:val="75AE19C0"/>
    <w:rsid w:val="76396CD2"/>
    <w:rsid w:val="76DD26BC"/>
    <w:rsid w:val="771F356A"/>
    <w:rsid w:val="774717B4"/>
    <w:rsid w:val="77A840FE"/>
    <w:rsid w:val="78DE4AD5"/>
    <w:rsid w:val="78F30F1E"/>
    <w:rsid w:val="796A2381"/>
    <w:rsid w:val="797A1F04"/>
    <w:rsid w:val="79F20F5F"/>
    <w:rsid w:val="7A17470D"/>
    <w:rsid w:val="7A471D95"/>
    <w:rsid w:val="7AA22119"/>
    <w:rsid w:val="7AE63B09"/>
    <w:rsid w:val="7B452129"/>
    <w:rsid w:val="7D1C2EBB"/>
    <w:rsid w:val="7DC03288"/>
    <w:rsid w:val="7E10636A"/>
    <w:rsid w:val="7E4159A3"/>
    <w:rsid w:val="7E5566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line="312" w:lineRule="auto"/>
    </w:pPr>
    <w:rPr>
      <w:rFonts w:hint="eastAsia" w:ascii="宋体" w:hAnsi="宋体" w:cs="宋体"/>
      <w:color w:val="000000"/>
      <w:sz w:val="18"/>
      <w:szCs w:val="18"/>
      <w:lang w:val="en-US" w:eastAsia="zh-CN" w:bidi="ar-SA"/>
    </w:rPr>
  </w:style>
  <w:style w:type="character" w:styleId="6">
    <w:name w:val="Strong"/>
    <w:basedOn w:val="5"/>
    <w:qFormat/>
    <w:uiPriority w:val="0"/>
    <w:rPr>
      <w:b/>
    </w:rPr>
  </w:style>
  <w:style w:type="character" w:styleId="7">
    <w:name w:val="FollowedHyperlink"/>
    <w:basedOn w:val="5"/>
    <w:qFormat/>
    <w:uiPriority w:val="0"/>
    <w:rPr>
      <w:rFonts w:ascii="Arial" w:hAnsi="Arial" w:cs="Arial"/>
      <w:color w:val="000000"/>
      <w:sz w:val="18"/>
      <w:szCs w:val="18"/>
      <w:u w:val="none"/>
    </w:rPr>
  </w:style>
  <w:style w:type="character" w:styleId="8">
    <w:name w:val="Hyperlink"/>
    <w:basedOn w:val="5"/>
    <w:qFormat/>
    <w:uiPriority w:val="0"/>
    <w:rPr>
      <w:rFonts w:hint="default" w:ascii="Arial" w:hAnsi="Arial" w:cs="Arial"/>
      <w:color w:val="000000"/>
      <w:sz w:val="18"/>
      <w:szCs w:val="18"/>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2018-01-08T04:58:00Z</dcterms:created>
  <dc:creator>科研处</dc:creator>
  <cp:lastModifiedBy>yim 零</cp:lastModifiedBy>
  <cp:lastPrinted>2018-04-23T03:36:00Z</cp:lastPrinted>
  <dcterms:modified xsi:type="dcterms:W3CDTF">2018-05-08T01:58:33Z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