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3" w:firstLineChars="200"/>
        <w:jc w:val="center"/>
        <w:textAlignment w:val="center"/>
        <w:outlineLvl w:val="9"/>
        <w:rPr>
          <w:rFonts w:hint="eastAsia" w:ascii="黑体" w:hAnsi="黑体" w:eastAsia="黑体" w:cs="黑体"/>
          <w:b/>
          <w:bCs/>
          <w:color w:val="auto"/>
          <w:kern w:val="0"/>
          <w:sz w:val="36"/>
          <w:szCs w:val="36"/>
        </w:rPr>
      </w:pPr>
      <w:r>
        <w:rPr>
          <w:rFonts w:hint="eastAsia" w:ascii="黑体" w:hAnsi="黑体" w:eastAsia="黑体" w:cs="黑体"/>
          <w:b/>
          <w:bCs/>
          <w:color w:val="auto"/>
          <w:kern w:val="0"/>
          <w:sz w:val="36"/>
          <w:szCs w:val="36"/>
        </w:rPr>
        <w:t>上海政法学院科研工作考核暂行办法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3" w:firstLineChars="200"/>
        <w:jc w:val="center"/>
        <w:textAlignment w:val="center"/>
        <w:outlineLvl w:val="9"/>
        <w:rPr>
          <w:rFonts w:hint="eastAsia" w:ascii="黑体" w:hAnsi="黑体" w:eastAsia="黑体" w:cs="黑体"/>
          <w:b/>
          <w:bCs/>
          <w:color w:val="auto"/>
          <w:kern w:val="0"/>
          <w:sz w:val="36"/>
          <w:szCs w:val="36"/>
          <w:lang w:eastAsia="zh-CN"/>
        </w:rPr>
      </w:pPr>
      <w:r>
        <w:rPr>
          <w:rFonts w:hint="eastAsia" w:ascii="黑体" w:hAnsi="黑体" w:eastAsia="黑体" w:cs="黑体"/>
          <w:b/>
          <w:bCs/>
          <w:color w:val="auto"/>
          <w:kern w:val="0"/>
          <w:sz w:val="36"/>
          <w:szCs w:val="36"/>
          <w:lang w:eastAsia="zh-CN"/>
        </w:rPr>
        <w:t>（</w:t>
      </w:r>
      <w:r>
        <w:rPr>
          <w:rFonts w:hint="eastAsia" w:ascii="黑体" w:hAnsi="黑体" w:eastAsia="黑体" w:cs="黑体"/>
          <w:b/>
          <w:bCs/>
          <w:color w:val="auto"/>
          <w:kern w:val="0"/>
          <w:sz w:val="36"/>
          <w:szCs w:val="36"/>
          <w:lang w:val="en-US" w:eastAsia="zh-CN"/>
        </w:rPr>
        <w:t>征求意见稿</w:t>
      </w:r>
      <w:r>
        <w:rPr>
          <w:rFonts w:hint="eastAsia" w:ascii="黑体" w:hAnsi="黑体" w:eastAsia="黑体" w:cs="黑体"/>
          <w:b/>
          <w:bCs/>
          <w:color w:val="auto"/>
          <w:kern w:val="0"/>
          <w:sz w:val="36"/>
          <w:szCs w:val="36"/>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3" w:firstLineChars="200"/>
        <w:jc w:val="center"/>
        <w:textAlignment w:val="center"/>
        <w:outlineLvl w:val="9"/>
        <w:rPr>
          <w:rFonts w:hint="eastAsia" w:ascii="黑体" w:hAnsi="黑体" w:eastAsia="黑体" w:cs="黑体"/>
          <w:b/>
          <w:bCs/>
          <w:color w:val="auto"/>
          <w:kern w:val="0"/>
          <w:sz w:val="36"/>
          <w:szCs w:val="36"/>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sz w:val="30"/>
          <w:szCs w:val="30"/>
        </w:rPr>
      </w:pPr>
      <w:r>
        <w:rPr>
          <w:rFonts w:hint="eastAsia" w:ascii="黑体" w:hAnsi="黑体" w:eastAsia="黑体" w:cs="黑体"/>
          <w:b/>
          <w:bCs/>
          <w:color w:val="auto"/>
          <w:kern w:val="0"/>
          <w:sz w:val="30"/>
          <w:szCs w:val="30"/>
        </w:rPr>
        <w:t>第一条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制定目的</w:t>
      </w:r>
    </w:p>
    <w:p>
      <w:pPr>
        <w:widowControl/>
        <w:ind w:firstLine="450" w:firstLineChars="150"/>
        <w:jc w:val="left"/>
        <w:textAlignment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为进一步加强学校的科研管理，规范科研工作考核与评估方法，全面调动教师的科研积极性和创造性，提升学校科研层次，特制定本办法。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第二条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适用范围</w:t>
      </w:r>
    </w:p>
    <w:p>
      <w:pPr>
        <w:widowControl/>
        <w:ind w:firstLine="441" w:firstLineChars="147"/>
        <w:jc w:val="left"/>
        <w:textAlignment w:val="center"/>
        <w:rPr>
          <w:rFonts w:hint="eastAsia" w:ascii="仿宋" w:hAnsi="仿宋" w:eastAsia="仿宋" w:cs="仿宋"/>
          <w:color w:val="auto"/>
          <w:sz w:val="30"/>
          <w:szCs w:val="30"/>
        </w:rPr>
      </w:pPr>
      <w:r>
        <w:rPr>
          <w:rFonts w:hint="eastAsia" w:ascii="仿宋" w:hAnsi="仿宋" w:eastAsia="仿宋" w:cs="仿宋"/>
          <w:color w:val="auto"/>
          <w:kern w:val="0"/>
          <w:sz w:val="30"/>
          <w:szCs w:val="30"/>
        </w:rPr>
        <w:t>由学校人事处核定的在编在岗教师、专职科研人员适用本办法。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第三条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学校认定的期刊分类</w:t>
      </w:r>
    </w:p>
    <w:p>
      <w:pPr>
        <w:widowControl/>
        <w:ind w:firstLine="384"/>
        <w:jc w:val="left"/>
        <w:rPr>
          <w:rFonts w:hint="eastAsia" w:ascii="仿宋" w:hAnsi="仿宋" w:eastAsia="仿宋" w:cs="仿宋"/>
          <w:b w:val="0"/>
          <w:bCs/>
          <w:color w:val="auto"/>
          <w:kern w:val="0"/>
          <w:sz w:val="30"/>
          <w:szCs w:val="30"/>
          <w:u w:val="none"/>
        </w:rPr>
      </w:pPr>
      <w:r>
        <w:rPr>
          <w:rFonts w:hint="eastAsia" w:ascii="仿宋" w:hAnsi="仿宋" w:eastAsia="仿宋" w:cs="仿宋"/>
          <w:b w:val="0"/>
          <w:bCs/>
          <w:color w:val="auto"/>
          <w:kern w:val="0"/>
          <w:sz w:val="30"/>
          <w:szCs w:val="30"/>
          <w:u w:val="none"/>
        </w:rPr>
        <w:t>期刊分为权威期刊、重要核心期刊、一般核心期刊、一般期刊</w:t>
      </w:r>
      <w:r>
        <w:rPr>
          <w:rFonts w:hint="eastAsia" w:ascii="仿宋" w:hAnsi="仿宋" w:eastAsia="仿宋" w:cs="仿宋"/>
          <w:b w:val="0"/>
          <w:bCs/>
          <w:color w:val="auto"/>
          <w:kern w:val="0"/>
          <w:sz w:val="30"/>
          <w:szCs w:val="30"/>
          <w:u w:val="none"/>
          <w:lang w:eastAsia="zh-CN"/>
        </w:rPr>
        <w:t>、核心期刊类成果五</w:t>
      </w:r>
      <w:r>
        <w:rPr>
          <w:rFonts w:hint="eastAsia" w:ascii="仿宋" w:hAnsi="仿宋" w:eastAsia="仿宋" w:cs="仿宋"/>
          <w:b w:val="0"/>
          <w:bCs/>
          <w:color w:val="auto"/>
          <w:kern w:val="0"/>
          <w:sz w:val="30"/>
          <w:szCs w:val="30"/>
          <w:u w:val="none"/>
        </w:rPr>
        <w:t>类</w:t>
      </w:r>
      <w:r>
        <w:rPr>
          <w:rFonts w:hint="eastAsia" w:ascii="仿宋" w:hAnsi="仿宋" w:eastAsia="仿宋" w:cs="仿宋"/>
          <w:b w:val="0"/>
          <w:bCs/>
          <w:color w:val="auto"/>
          <w:kern w:val="0"/>
          <w:sz w:val="30"/>
          <w:szCs w:val="30"/>
          <w:u w:val="none"/>
          <w:lang w:eastAsia="zh-CN"/>
        </w:rPr>
        <w:t>。</w:t>
      </w:r>
    </w:p>
    <w:p>
      <w:pPr>
        <w:widowControl/>
        <w:numPr>
          <w:ilvl w:val="0"/>
          <w:numId w:val="1"/>
        </w:numPr>
        <w:ind w:firstLine="384"/>
        <w:jc w:val="left"/>
        <w:rPr>
          <w:rFonts w:hint="eastAsia" w:ascii="楷体" w:hAnsi="楷体" w:eastAsia="楷体" w:cs="楷体"/>
          <w:b/>
          <w:bCs/>
          <w:color w:val="auto"/>
          <w:kern w:val="0"/>
          <w:sz w:val="30"/>
          <w:szCs w:val="30"/>
        </w:rPr>
      </w:pPr>
      <w:r>
        <w:rPr>
          <w:rFonts w:hint="eastAsia" w:ascii="楷体" w:hAnsi="楷体" w:eastAsia="楷体" w:cs="楷体"/>
          <w:b/>
          <w:bCs/>
          <w:color w:val="auto"/>
          <w:kern w:val="0"/>
          <w:sz w:val="30"/>
          <w:szCs w:val="30"/>
        </w:rPr>
        <w:t>权威期刊论文</w:t>
      </w:r>
    </w:p>
    <w:p>
      <w:pPr>
        <w:widowControl/>
        <w:numPr>
          <w:ilvl w:val="0"/>
          <w:numId w:val="0"/>
        </w:numPr>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在《中国社会科学》、《中国科学》发表的论文和被《新华文摘》全文转摘的论文</w:t>
      </w:r>
    </w:p>
    <w:p>
      <w:pPr>
        <w:widowControl/>
        <w:numPr>
          <w:ilvl w:val="0"/>
          <w:numId w:val="1"/>
        </w:numPr>
        <w:ind w:left="0" w:leftChars="0" w:firstLine="384" w:firstLineChars="0"/>
        <w:jc w:val="left"/>
        <w:rPr>
          <w:rFonts w:hint="eastAsia" w:ascii="楷体" w:hAnsi="楷体" w:eastAsia="楷体" w:cs="楷体"/>
          <w:b/>
          <w:bCs/>
          <w:color w:val="auto"/>
          <w:kern w:val="0"/>
          <w:sz w:val="30"/>
          <w:szCs w:val="30"/>
        </w:rPr>
      </w:pPr>
      <w:r>
        <w:rPr>
          <w:rFonts w:hint="eastAsia" w:ascii="楷体" w:hAnsi="楷体" w:eastAsia="楷体" w:cs="楷体"/>
          <w:b/>
          <w:bCs/>
          <w:color w:val="auto"/>
          <w:kern w:val="0"/>
          <w:sz w:val="30"/>
          <w:szCs w:val="30"/>
        </w:rPr>
        <w:t>重要核心期刊</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1.综合性人文、社会科学类</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（1）《北京大学学报（哲学社会科学版）》</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（2）《中国人民大学学报》</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（3）《学术月刊》</w:t>
      </w:r>
    </w:p>
    <w:p>
      <w:pPr>
        <w:widowControl/>
        <w:ind w:firstLine="384"/>
        <w:jc w:val="left"/>
        <w:rPr>
          <w:rFonts w:hint="eastAsia" w:ascii="仿宋" w:hAnsi="仿宋" w:eastAsia="仿宋" w:cs="仿宋"/>
          <w:b/>
          <w:color w:val="auto"/>
          <w:kern w:val="0"/>
          <w:sz w:val="30"/>
          <w:szCs w:val="30"/>
          <w:u w:val="single"/>
        </w:rPr>
      </w:pPr>
      <w:r>
        <w:rPr>
          <w:rFonts w:hint="eastAsia" w:ascii="仿宋" w:hAnsi="仿宋" w:eastAsia="仿宋" w:cs="仿宋"/>
          <w:color w:val="auto"/>
          <w:kern w:val="0"/>
          <w:sz w:val="30"/>
          <w:szCs w:val="30"/>
          <w:u w:val="none"/>
        </w:rPr>
        <w:t>（4）《社会科学战线》</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2.法学类</w:t>
      </w:r>
    </w:p>
    <w:p>
      <w:pPr>
        <w:widowControl/>
        <w:ind w:firstLine="36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（1）《法学研究》</w:t>
      </w:r>
    </w:p>
    <w:p>
      <w:pPr>
        <w:widowControl/>
        <w:ind w:firstLine="36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（2）《中国法学》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3. 社会学、人口学类</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（1）《社会学研究》</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（2）《中国人口科学》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4.哲学类</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（1）《哲学研究》</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（2）《哲学动态》</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5. 马克思主义</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）《马克思主义研究》</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）《马克思主义与现实》</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6.管理学</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（1）《管理世界》</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（2）《南开管理评论》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7.政治学类</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（1）《政治学研究》</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（2）《世界经济与政治》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8.经济学类</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（1）《经济研究》</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（2）《世界经济》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9.高等教育类</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（1）《高等教育研究》</w:t>
      </w:r>
    </w:p>
    <w:p>
      <w:pPr>
        <w:widowControl/>
        <w:ind w:firstLine="384"/>
        <w:jc w:val="left"/>
        <w:rPr>
          <w:rFonts w:hint="eastAsia" w:ascii="仿宋" w:hAnsi="仿宋" w:eastAsia="仿宋" w:cs="仿宋"/>
          <w:b w:val="0"/>
          <w:bCs w:val="0"/>
          <w:color w:val="auto"/>
          <w:kern w:val="0"/>
          <w:sz w:val="30"/>
          <w:szCs w:val="30"/>
          <w:lang w:eastAsia="zh-CN"/>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lang w:eastAsia="zh-CN"/>
        </w:rPr>
        <w:t>）</w:t>
      </w:r>
      <w:r>
        <w:rPr>
          <w:rFonts w:hint="eastAsia" w:ascii="仿宋" w:hAnsi="仿宋" w:eastAsia="仿宋" w:cs="仿宋"/>
          <w:b w:val="0"/>
          <w:bCs w:val="0"/>
          <w:color w:val="auto"/>
          <w:kern w:val="0"/>
          <w:sz w:val="30"/>
          <w:szCs w:val="30"/>
          <w:lang w:eastAsia="zh-CN"/>
        </w:rPr>
        <w:t>《教育研究》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10.语言学汉语类</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（1）《中国语文》</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（2）《世界汉语教学》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11.语言学外语类</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（1）《外语教学与研究》</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（2）《外语界》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12.外国文学</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（1）《外国文学评论》</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（2）《外国文学研究》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13.中国文学</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（1）《文学评论》</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（2）《文艺争鸣》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14.新闻学与传播学类</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（1）《编辑学报》</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（2）《新闻与传播研究》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15.历史学</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（1）《历史研究》</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（2）《近代史研究》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16.教育学</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（1）《教育研究》</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（2）《北京大学教育评论》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17.体育类</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（1）《体育科学》  </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（2）《上海体育学院学报》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18.心理学</w:t>
      </w:r>
    </w:p>
    <w:p>
      <w:pPr>
        <w:widowControl/>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  </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（1）《心理学报》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（2）《心理发展与教育》</w:t>
      </w:r>
    </w:p>
    <w:p>
      <w:pPr>
        <w:widowControl/>
        <w:ind w:firstLine="602" w:firstLineChars="200"/>
        <w:jc w:val="left"/>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19.自动化技术、计算机技术类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（1）《计算机学报》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（2）《软件学报》</w:t>
      </w:r>
    </w:p>
    <w:p>
      <w:pPr>
        <w:widowControl/>
        <w:ind w:firstLine="602" w:firstLineChars="200"/>
        <w:jc w:val="left"/>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20.艺术类</w:t>
      </w:r>
    </w:p>
    <w:p>
      <w:pPr>
        <w:widowControl/>
        <w:ind w:firstLine="600" w:firstLineChars="200"/>
        <w:jc w:val="left"/>
        <w:rPr>
          <w:rFonts w:hint="eastAsia" w:ascii="仿宋" w:hAnsi="仿宋" w:eastAsia="仿宋" w:cs="仿宋"/>
          <w:b w:val="0"/>
          <w:bCs/>
          <w:color w:val="auto"/>
          <w:kern w:val="0"/>
          <w:sz w:val="30"/>
          <w:szCs w:val="30"/>
          <w:lang w:val="en-US" w:eastAsia="zh-CN"/>
        </w:rPr>
      </w:pPr>
      <w:r>
        <w:rPr>
          <w:rFonts w:hint="eastAsia" w:ascii="仿宋" w:hAnsi="仿宋" w:eastAsia="仿宋" w:cs="仿宋"/>
          <w:b w:val="0"/>
          <w:bCs/>
          <w:color w:val="auto"/>
          <w:kern w:val="0"/>
          <w:sz w:val="30"/>
          <w:szCs w:val="30"/>
        </w:rPr>
        <w:t>（1）文艺研究</w:t>
      </w:r>
    </w:p>
    <w:p>
      <w:pPr>
        <w:widowControl/>
        <w:ind w:firstLine="602" w:firstLineChars="200"/>
        <w:jc w:val="left"/>
        <w:rPr>
          <w:rFonts w:hint="eastAsia" w:ascii="仿宋" w:hAnsi="仿宋" w:eastAsia="仿宋" w:cs="仿宋"/>
          <w:b/>
          <w:bCs/>
          <w:color w:val="auto"/>
          <w:kern w:val="0"/>
          <w:sz w:val="30"/>
          <w:szCs w:val="30"/>
          <w:lang w:val="en-US" w:eastAsia="zh-CN"/>
        </w:rPr>
      </w:pPr>
      <w:r>
        <w:rPr>
          <w:rFonts w:hint="eastAsia" w:ascii="仿宋" w:hAnsi="仿宋" w:eastAsia="仿宋" w:cs="仿宋"/>
          <w:b/>
          <w:bCs/>
          <w:color w:val="auto"/>
          <w:kern w:val="0"/>
          <w:sz w:val="30"/>
          <w:szCs w:val="30"/>
          <w:lang w:val="en-US" w:eastAsia="zh-CN"/>
        </w:rPr>
        <w:t>21.其他</w:t>
      </w:r>
    </w:p>
    <w:p>
      <w:pPr>
        <w:widowControl/>
        <w:ind w:firstLine="600" w:firstLineChars="200"/>
        <w:jc w:val="left"/>
        <w:rPr>
          <w:rFonts w:hint="eastAsia" w:ascii="仿宋" w:hAnsi="仿宋" w:eastAsia="仿宋" w:cs="仿宋"/>
          <w:b w:val="0"/>
          <w:bCs/>
          <w:color w:val="auto"/>
          <w:kern w:val="0"/>
          <w:sz w:val="30"/>
          <w:szCs w:val="30"/>
          <w:lang w:val="en-US" w:eastAsia="zh-CN"/>
        </w:rPr>
      </w:pPr>
      <w:r>
        <w:rPr>
          <w:rFonts w:hint="eastAsia" w:ascii="仿宋" w:hAnsi="仿宋" w:eastAsia="仿宋" w:cs="仿宋"/>
          <w:b w:val="0"/>
          <w:bCs/>
          <w:color w:val="auto"/>
          <w:kern w:val="0"/>
          <w:sz w:val="30"/>
          <w:szCs w:val="30"/>
        </w:rPr>
        <w:t>SSCI、SCI、</w:t>
      </w:r>
      <w:r>
        <w:rPr>
          <w:rFonts w:hint="eastAsia" w:ascii="仿宋" w:hAnsi="仿宋" w:eastAsia="仿宋" w:cs="仿宋"/>
          <w:b w:val="0"/>
          <w:bCs/>
          <w:color w:val="auto"/>
          <w:kern w:val="0"/>
          <w:sz w:val="30"/>
          <w:szCs w:val="30"/>
          <w:lang w:val="en-US" w:eastAsia="zh-CN"/>
        </w:rPr>
        <w:t>EI、A&amp;HCI（艺术与人文社会科学文献索引）收录的论文，以及《中国社会科学文摘》全文转载的论文，视为重要核心期刊论文。</w:t>
      </w:r>
    </w:p>
    <w:p>
      <w:pPr>
        <w:widowControl/>
        <w:ind w:firstLine="384"/>
        <w:jc w:val="left"/>
        <w:rPr>
          <w:rFonts w:hint="eastAsia" w:ascii="楷体" w:hAnsi="楷体" w:eastAsia="楷体" w:cs="楷体"/>
          <w:b/>
          <w:bCs/>
          <w:color w:val="auto"/>
          <w:kern w:val="0"/>
          <w:sz w:val="30"/>
          <w:szCs w:val="30"/>
        </w:rPr>
      </w:pPr>
      <w:r>
        <w:rPr>
          <w:rFonts w:hint="eastAsia" w:ascii="楷体" w:hAnsi="楷体" w:eastAsia="楷体" w:cs="楷体"/>
          <w:b/>
          <w:bCs/>
          <w:color w:val="auto"/>
          <w:kern w:val="0"/>
          <w:sz w:val="30"/>
          <w:szCs w:val="30"/>
          <w:lang w:eastAsia="zh-CN"/>
        </w:rPr>
        <w:t>（</w:t>
      </w:r>
      <w:r>
        <w:rPr>
          <w:rFonts w:hint="eastAsia" w:ascii="楷体" w:hAnsi="楷体" w:eastAsia="楷体" w:cs="楷体"/>
          <w:b/>
          <w:bCs/>
          <w:color w:val="auto"/>
          <w:kern w:val="0"/>
          <w:sz w:val="30"/>
          <w:szCs w:val="30"/>
          <w:lang w:val="en-US" w:eastAsia="zh-CN"/>
        </w:rPr>
        <w:t>三</w:t>
      </w:r>
      <w:r>
        <w:rPr>
          <w:rFonts w:hint="eastAsia" w:ascii="楷体" w:hAnsi="楷体" w:eastAsia="楷体" w:cs="楷体"/>
          <w:b/>
          <w:bCs/>
          <w:color w:val="auto"/>
          <w:kern w:val="0"/>
          <w:sz w:val="30"/>
          <w:szCs w:val="30"/>
          <w:lang w:eastAsia="zh-CN"/>
        </w:rPr>
        <w:t>）</w:t>
      </w:r>
      <w:r>
        <w:rPr>
          <w:rFonts w:hint="eastAsia" w:ascii="楷体" w:hAnsi="楷体" w:eastAsia="楷体" w:cs="楷体"/>
          <w:b/>
          <w:bCs/>
          <w:color w:val="auto"/>
          <w:kern w:val="0"/>
          <w:sz w:val="30"/>
          <w:szCs w:val="30"/>
        </w:rPr>
        <w:t>一般核心期刊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b w:val="0"/>
          <w:bCs/>
          <w:color w:val="auto"/>
          <w:kern w:val="0"/>
          <w:sz w:val="30"/>
          <w:szCs w:val="30"/>
          <w:u w:val="none"/>
        </w:rPr>
      </w:pPr>
      <w:r>
        <w:rPr>
          <w:rFonts w:hint="eastAsia" w:ascii="仿宋" w:hAnsi="仿宋" w:eastAsia="仿宋" w:cs="仿宋"/>
          <w:b w:val="0"/>
          <w:bCs/>
          <w:color w:val="auto"/>
          <w:kern w:val="0"/>
          <w:sz w:val="30"/>
          <w:szCs w:val="30"/>
          <w:u w:val="none"/>
        </w:rPr>
        <w:t>南京大学中文社会科学核心引文索引确定的当年CSSCI来源期刊</w:t>
      </w:r>
      <w:r>
        <w:rPr>
          <w:rFonts w:hint="eastAsia" w:ascii="仿宋" w:hAnsi="仿宋" w:eastAsia="仿宋" w:cs="仿宋"/>
          <w:b w:val="0"/>
          <w:bCs/>
          <w:color w:val="auto"/>
          <w:kern w:val="0"/>
          <w:sz w:val="30"/>
          <w:szCs w:val="30"/>
          <w:u w:val="none"/>
          <w:lang w:eastAsia="zh-CN"/>
        </w:rPr>
        <w:t>、</w:t>
      </w:r>
      <w:r>
        <w:rPr>
          <w:rFonts w:hint="eastAsia" w:ascii="仿宋" w:hAnsi="仿宋" w:eastAsia="仿宋" w:cs="仿宋"/>
          <w:b w:val="0"/>
          <w:bCs/>
          <w:color w:val="auto"/>
          <w:kern w:val="0"/>
          <w:sz w:val="30"/>
          <w:szCs w:val="30"/>
          <w:u w:val="none"/>
        </w:rPr>
        <w:t>扩展版与集刊。</w:t>
      </w:r>
      <w:r>
        <w:rPr>
          <w:rFonts w:hint="eastAsia" w:ascii="仿宋" w:hAnsi="仿宋" w:eastAsia="仿宋" w:cs="仿宋"/>
          <w:b w:val="0"/>
          <w:bCs/>
          <w:color w:val="auto"/>
          <w:kern w:val="0"/>
          <w:sz w:val="30"/>
          <w:szCs w:val="30"/>
          <w:u w:val="none"/>
          <w:lang w:val="en-US" w:eastAsia="zh-CN"/>
        </w:rPr>
        <w:t>ISSHP(国际学术会议社会科学文献索引) 收录的论文，视为一般核心期刊论文。</w:t>
      </w:r>
    </w:p>
    <w:p>
      <w:pPr>
        <w:widowControl/>
        <w:ind w:firstLine="384"/>
        <w:jc w:val="left"/>
        <w:rPr>
          <w:rFonts w:hint="eastAsia" w:ascii="楷体" w:hAnsi="楷体" w:eastAsia="楷体" w:cs="楷体"/>
          <w:b/>
          <w:bCs/>
          <w:color w:val="auto"/>
          <w:kern w:val="0"/>
          <w:sz w:val="30"/>
          <w:szCs w:val="30"/>
          <w:lang w:eastAsia="zh-CN"/>
        </w:rPr>
      </w:pPr>
      <w:r>
        <w:rPr>
          <w:rFonts w:hint="eastAsia" w:ascii="楷体" w:hAnsi="楷体" w:eastAsia="楷体" w:cs="楷体"/>
          <w:b/>
          <w:bCs/>
          <w:color w:val="auto"/>
          <w:kern w:val="0"/>
          <w:sz w:val="30"/>
          <w:szCs w:val="30"/>
          <w:lang w:eastAsia="zh-CN"/>
        </w:rPr>
        <w:t>（</w:t>
      </w:r>
      <w:r>
        <w:rPr>
          <w:rFonts w:hint="eastAsia" w:ascii="楷体" w:hAnsi="楷体" w:eastAsia="楷体" w:cs="楷体"/>
          <w:b/>
          <w:bCs/>
          <w:color w:val="auto"/>
          <w:kern w:val="0"/>
          <w:sz w:val="30"/>
          <w:szCs w:val="30"/>
          <w:lang w:val="en-US" w:eastAsia="zh-CN"/>
        </w:rPr>
        <w:t>四</w:t>
      </w:r>
      <w:r>
        <w:rPr>
          <w:rFonts w:hint="eastAsia" w:ascii="楷体" w:hAnsi="楷体" w:eastAsia="楷体" w:cs="楷体"/>
          <w:b/>
          <w:bCs/>
          <w:color w:val="auto"/>
          <w:kern w:val="0"/>
          <w:sz w:val="30"/>
          <w:szCs w:val="30"/>
          <w:lang w:eastAsia="zh-CN"/>
        </w:rPr>
        <w:t>）一般期刊</w:t>
      </w:r>
    </w:p>
    <w:p>
      <w:pPr>
        <w:numPr>
          <w:ilvl w:val="0"/>
          <w:numId w:val="0"/>
        </w:numPr>
        <w:autoSpaceDE w:val="0"/>
        <w:autoSpaceDN w:val="0"/>
        <w:adjustRightInd w:val="0"/>
        <w:ind w:firstLine="600" w:firstLineChars="200"/>
        <w:jc w:val="left"/>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sz w:val="30"/>
          <w:szCs w:val="30"/>
        </w:rPr>
        <w:t>北京大学图书馆、北京高校图书馆期刊工作研究会编辑的</w:t>
      </w:r>
      <w:r>
        <w:rPr>
          <w:rFonts w:hint="eastAsia" w:ascii="仿宋" w:hAnsi="仿宋" w:eastAsia="仿宋" w:cs="仿宋"/>
          <w:b w:val="0"/>
          <w:bCs w:val="0"/>
          <w:color w:val="auto"/>
          <w:sz w:val="30"/>
          <w:szCs w:val="30"/>
          <w:lang w:eastAsia="zh-CN"/>
        </w:rPr>
        <w:t>当年的</w:t>
      </w:r>
      <w:r>
        <w:rPr>
          <w:rFonts w:hint="eastAsia" w:ascii="仿宋" w:hAnsi="仿宋" w:eastAsia="仿宋" w:cs="仿宋"/>
          <w:b w:val="0"/>
          <w:bCs w:val="0"/>
          <w:color w:val="auto"/>
          <w:sz w:val="30"/>
          <w:szCs w:val="30"/>
        </w:rPr>
        <w:t>《中文核心期刊要目总览》中《专业期刊一览表目录》里认定的期刊。</w:t>
      </w:r>
    </w:p>
    <w:p>
      <w:pPr>
        <w:widowControl/>
        <w:ind w:firstLine="384"/>
        <w:jc w:val="left"/>
        <w:rPr>
          <w:rFonts w:hint="eastAsia" w:ascii="楷体" w:hAnsi="楷体" w:eastAsia="楷体" w:cs="楷体"/>
          <w:b/>
          <w:bCs/>
          <w:color w:val="auto"/>
          <w:kern w:val="0"/>
          <w:sz w:val="30"/>
          <w:szCs w:val="30"/>
        </w:rPr>
      </w:pPr>
      <w:r>
        <w:rPr>
          <w:rFonts w:hint="eastAsia" w:ascii="楷体" w:hAnsi="楷体" w:eastAsia="楷体" w:cs="楷体"/>
          <w:b/>
          <w:bCs/>
          <w:color w:val="auto"/>
          <w:kern w:val="0"/>
          <w:sz w:val="30"/>
          <w:szCs w:val="30"/>
          <w:lang w:eastAsia="zh-CN"/>
        </w:rPr>
        <w:t>（</w:t>
      </w:r>
      <w:r>
        <w:rPr>
          <w:rFonts w:hint="eastAsia" w:ascii="楷体" w:hAnsi="楷体" w:eastAsia="楷体" w:cs="楷体"/>
          <w:b/>
          <w:bCs/>
          <w:color w:val="auto"/>
          <w:kern w:val="0"/>
          <w:sz w:val="30"/>
          <w:szCs w:val="30"/>
          <w:lang w:val="en-US" w:eastAsia="zh-CN"/>
        </w:rPr>
        <w:t>五</w:t>
      </w:r>
      <w:r>
        <w:rPr>
          <w:rFonts w:hint="eastAsia" w:ascii="楷体" w:hAnsi="楷体" w:eastAsia="楷体" w:cs="楷体"/>
          <w:b/>
          <w:bCs/>
          <w:color w:val="auto"/>
          <w:kern w:val="0"/>
          <w:sz w:val="30"/>
          <w:szCs w:val="30"/>
          <w:lang w:eastAsia="zh-CN"/>
        </w:rPr>
        <w:t>）</w:t>
      </w:r>
      <w:r>
        <w:rPr>
          <w:rFonts w:hint="eastAsia" w:ascii="楷体" w:hAnsi="楷体" w:eastAsia="楷体" w:cs="楷体"/>
          <w:b/>
          <w:bCs/>
          <w:color w:val="auto"/>
          <w:kern w:val="0"/>
          <w:sz w:val="30"/>
          <w:szCs w:val="30"/>
        </w:rPr>
        <w:t>核心期刊类成果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sz w:val="30"/>
          <w:szCs w:val="30"/>
        </w:rPr>
      </w:pPr>
      <w:r>
        <w:rPr>
          <w:rFonts w:hint="eastAsia" w:ascii="仿宋" w:hAnsi="仿宋" w:eastAsia="仿宋" w:cs="仿宋"/>
          <w:color w:val="auto"/>
          <w:kern w:val="0"/>
          <w:sz w:val="30"/>
          <w:szCs w:val="30"/>
        </w:rPr>
        <w:t>本办法第十四条（四）、（五）表中所列明的可以折合核心期刊的论文、专著、项目、决策咨询报告、内参及教学类奖项。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第四条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基本原则</w:t>
      </w:r>
    </w:p>
    <w:p>
      <w:pPr>
        <w:widowControl/>
        <w:ind w:firstLine="482"/>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（一）公开、公平、公正原则</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考核数据和所依据的成果在学校内公开。力求对教学和科研人员的科研工作和学术水平给予量化评价，同时便于检索和统计。</w:t>
      </w:r>
    </w:p>
    <w:p>
      <w:pPr>
        <w:widowControl/>
        <w:ind w:firstLine="482"/>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二</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实事求是原则</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被考核人员必须将本人获得的科研工作成果，按照申报程序和存档要求如实申报。</w:t>
      </w:r>
    </w:p>
    <w:p>
      <w:pPr>
        <w:widowControl/>
        <w:ind w:firstLine="482"/>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（三）数量与质量兼顾原则</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报送考核的科研成果根据数量和质量的不同，给予相应的计分。</w:t>
      </w:r>
    </w:p>
    <w:p>
      <w:pPr>
        <w:widowControl/>
        <w:ind w:firstLine="482"/>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（四）遵守学术规范原则</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被考核的科研成果，必须符合学术规范</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否则，不予计分。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第五条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论文署名</w:t>
      </w:r>
    </w:p>
    <w:p>
      <w:pPr>
        <w:widowControl/>
        <w:ind w:firstLine="630" w:firstLineChars="21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列入学校考核成果的作者（即我校教师）必须为第一署名作者，作者单位必须标注上海政法学院，且为第一署名单位；无标注单位则不列入考核统计。</w:t>
      </w:r>
    </w:p>
    <w:p>
      <w:pPr>
        <w:widowControl/>
        <w:ind w:firstLine="384"/>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 xml:space="preserve"> 在职攻读博士学位的教师，将读博单位署为第一单位，上海政法学院署为第二单位的科研成果，科研工作考核时予以认定统计，但不列入科研奖励范围。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第六条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考核周期和统计程序</w:t>
      </w:r>
    </w:p>
    <w:p>
      <w:pPr>
        <w:widowControl/>
        <w:ind w:firstLine="441" w:firstLineChars="147"/>
        <w:jc w:val="left"/>
        <w:rPr>
          <w:rFonts w:hint="eastAsia" w:ascii="仿宋" w:hAnsi="仿宋" w:eastAsia="仿宋" w:cs="仿宋"/>
          <w:b w:val="0"/>
          <w:bCs/>
          <w:color w:val="auto"/>
          <w:kern w:val="0"/>
          <w:sz w:val="30"/>
          <w:szCs w:val="30"/>
          <w:u w:val="none"/>
        </w:rPr>
      </w:pPr>
      <w:r>
        <w:rPr>
          <w:rFonts w:hint="eastAsia" w:ascii="仿宋" w:hAnsi="仿宋" w:eastAsia="仿宋" w:cs="仿宋"/>
          <w:b w:val="0"/>
          <w:bCs/>
          <w:color w:val="auto"/>
          <w:kern w:val="0"/>
          <w:sz w:val="30"/>
          <w:szCs w:val="30"/>
          <w:u w:val="none"/>
        </w:rPr>
        <w:t>（一）科研工作考核</w:t>
      </w:r>
      <w:r>
        <w:rPr>
          <w:rFonts w:hint="eastAsia" w:ascii="仿宋" w:hAnsi="仿宋" w:eastAsia="仿宋" w:cs="仿宋"/>
          <w:b w:val="0"/>
          <w:bCs/>
          <w:color w:val="auto"/>
          <w:kern w:val="0"/>
          <w:sz w:val="30"/>
          <w:szCs w:val="30"/>
          <w:u w:val="none"/>
          <w:lang w:eastAsia="zh-CN"/>
        </w:rPr>
        <w:t>，每</w:t>
      </w:r>
      <w:r>
        <w:rPr>
          <w:rFonts w:hint="eastAsia" w:ascii="仿宋" w:hAnsi="仿宋" w:eastAsia="仿宋" w:cs="仿宋"/>
          <w:b w:val="0"/>
          <w:bCs/>
          <w:color w:val="auto"/>
          <w:kern w:val="0"/>
          <w:sz w:val="30"/>
          <w:szCs w:val="30"/>
          <w:u w:val="none"/>
        </w:rPr>
        <w:t>年进行一次。经教师本人申请，并经科研处认定备案，教师可以将当下考核周期的核心期刊论文和科研成果转</w:t>
      </w:r>
      <w:r>
        <w:rPr>
          <w:rFonts w:hint="eastAsia" w:ascii="仿宋" w:hAnsi="仿宋" w:eastAsia="仿宋" w:cs="仿宋"/>
          <w:b w:val="0"/>
          <w:bCs/>
          <w:color w:val="auto"/>
          <w:kern w:val="0"/>
          <w:sz w:val="30"/>
          <w:szCs w:val="30"/>
          <w:u w:val="none"/>
          <w:lang w:eastAsia="zh-CN"/>
        </w:rPr>
        <w:t>入后两年</w:t>
      </w:r>
      <w:r>
        <w:rPr>
          <w:rFonts w:hint="eastAsia" w:ascii="仿宋" w:hAnsi="仿宋" w:eastAsia="仿宋" w:cs="仿宋"/>
          <w:b w:val="0"/>
          <w:bCs/>
          <w:color w:val="auto"/>
          <w:kern w:val="0"/>
          <w:sz w:val="30"/>
          <w:szCs w:val="30"/>
          <w:u w:val="none"/>
        </w:rPr>
        <w:t>考核期使用。需要将当下考核周期的核心期刊论文和科研成果转入下个考核周期的教师，必须填报《科研成果(核心期刊类、专著超额分)超额定量部分转入下个考核周期使用申请表》，报科研处认定备案后方可生效。</w:t>
      </w:r>
    </w:p>
    <w:p>
      <w:pPr>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（二）在每个考核年度的10月下旬，由科研处下发《科研工作考核通知》。</w:t>
      </w:r>
      <w:r>
        <w:rPr>
          <w:rFonts w:hint="eastAsia" w:ascii="仿宋" w:hAnsi="仿宋" w:eastAsia="仿宋" w:cs="仿宋"/>
          <w:b w:val="0"/>
          <w:bCs/>
          <w:color w:val="auto"/>
          <w:kern w:val="0"/>
          <w:sz w:val="30"/>
          <w:szCs w:val="30"/>
          <w:u w:val="none"/>
        </w:rPr>
        <w:t>被考核人员如实填写本人</w:t>
      </w:r>
      <w:r>
        <w:rPr>
          <w:rFonts w:hint="eastAsia" w:ascii="仿宋" w:hAnsi="仿宋" w:eastAsia="仿宋" w:cs="仿宋"/>
          <w:b w:val="0"/>
          <w:bCs/>
          <w:color w:val="auto"/>
          <w:kern w:val="0"/>
          <w:sz w:val="30"/>
          <w:szCs w:val="30"/>
          <w:u w:val="none"/>
          <w:lang w:eastAsia="zh-CN"/>
        </w:rPr>
        <w:t>当年</w:t>
      </w:r>
      <w:r>
        <w:rPr>
          <w:rFonts w:hint="eastAsia" w:ascii="仿宋" w:hAnsi="仿宋" w:eastAsia="仿宋" w:cs="仿宋"/>
          <w:b w:val="0"/>
          <w:bCs/>
          <w:color w:val="auto"/>
          <w:kern w:val="0"/>
          <w:sz w:val="30"/>
          <w:szCs w:val="30"/>
          <w:u w:val="none"/>
        </w:rPr>
        <w:t>1月1日至</w:t>
      </w:r>
      <w:r>
        <w:rPr>
          <w:rFonts w:hint="eastAsia" w:ascii="仿宋" w:hAnsi="仿宋" w:eastAsia="仿宋" w:cs="仿宋"/>
          <w:b w:val="0"/>
          <w:bCs/>
          <w:color w:val="auto"/>
          <w:kern w:val="0"/>
          <w:sz w:val="30"/>
          <w:szCs w:val="30"/>
          <w:u w:val="none"/>
          <w:lang w:eastAsia="zh-CN"/>
        </w:rPr>
        <w:t>当年</w:t>
      </w:r>
      <w:r>
        <w:rPr>
          <w:rFonts w:hint="eastAsia" w:ascii="仿宋" w:hAnsi="仿宋" w:eastAsia="仿宋" w:cs="仿宋"/>
          <w:b w:val="0"/>
          <w:bCs/>
          <w:color w:val="auto"/>
          <w:kern w:val="0"/>
          <w:sz w:val="30"/>
          <w:szCs w:val="30"/>
          <w:u w:val="none"/>
        </w:rPr>
        <w:t>12月31日的科研成果</w:t>
      </w:r>
      <w:r>
        <w:rPr>
          <w:rFonts w:hint="eastAsia" w:ascii="仿宋" w:hAnsi="仿宋" w:eastAsia="仿宋" w:cs="仿宋"/>
          <w:b w:val="0"/>
          <w:bCs/>
          <w:color w:val="auto"/>
          <w:kern w:val="0"/>
          <w:sz w:val="30"/>
          <w:szCs w:val="30"/>
          <w:u w:val="none"/>
          <w:lang w:eastAsia="zh-CN"/>
        </w:rPr>
        <w:t>，</w:t>
      </w:r>
      <w:r>
        <w:rPr>
          <w:rFonts w:hint="eastAsia" w:ascii="仿宋" w:hAnsi="仿宋" w:eastAsia="仿宋" w:cs="仿宋"/>
          <w:color w:val="auto"/>
          <w:kern w:val="0"/>
          <w:sz w:val="30"/>
          <w:szCs w:val="30"/>
        </w:rPr>
        <w:t>由各二级学院(研究院、司法所、部等)按规定统计科研分，科研处进行审核。</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第七条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著作类计分标准</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著作类科研成果计分的具体标准是：</w:t>
      </w:r>
    </w:p>
    <w:p>
      <w:pPr>
        <w:widowControl/>
        <w:ind w:firstLine="384"/>
        <w:jc w:val="left"/>
        <w:rPr>
          <w:rFonts w:hint="eastAsia" w:ascii="楷体" w:hAnsi="楷体" w:eastAsia="楷体" w:cs="楷体"/>
          <w:b/>
          <w:bCs/>
          <w:color w:val="auto"/>
          <w:kern w:val="0"/>
          <w:sz w:val="30"/>
          <w:szCs w:val="30"/>
        </w:rPr>
      </w:pPr>
      <w:r>
        <w:rPr>
          <w:rFonts w:hint="eastAsia" w:ascii="楷体" w:hAnsi="楷体" w:eastAsia="楷体" w:cs="楷体"/>
          <w:b/>
          <w:bCs/>
          <w:color w:val="auto"/>
          <w:kern w:val="0"/>
          <w:sz w:val="30"/>
          <w:szCs w:val="30"/>
        </w:rPr>
        <w:t>（一）学术专著</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1.个人独著的，按4分/千字计分。</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2.多人合著、未注明主编的学术专著计分标准为4分/千字；未标明作者撰稿量的，第一作者按总字数60％计算，其余的40％按照作者人数均分；已标明各作者撰稿量的，按作者的撰稿量计分。</w:t>
      </w:r>
    </w:p>
    <w:p>
      <w:pPr>
        <w:widowControl/>
        <w:ind w:firstLine="630" w:firstLineChars="21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3.多人合著注明主编的，按4分/千字的标准计算该书的总分后，提取5％为第一主编工作量，剩余的按作者的撰稿量分配。</w:t>
      </w:r>
    </w:p>
    <w:p>
      <w:pPr>
        <w:widowControl/>
        <w:ind w:firstLine="384"/>
        <w:jc w:val="left"/>
        <w:rPr>
          <w:rFonts w:hint="eastAsia" w:ascii="楷体" w:hAnsi="楷体" w:eastAsia="楷体" w:cs="楷体"/>
          <w:b/>
          <w:bCs/>
          <w:color w:val="auto"/>
          <w:kern w:val="0"/>
          <w:sz w:val="30"/>
          <w:szCs w:val="30"/>
        </w:rPr>
      </w:pPr>
      <w:r>
        <w:rPr>
          <w:rFonts w:hint="eastAsia" w:ascii="楷体" w:hAnsi="楷体" w:eastAsia="楷体" w:cs="楷体"/>
          <w:b/>
          <w:bCs/>
          <w:color w:val="auto"/>
          <w:kern w:val="0"/>
          <w:sz w:val="30"/>
          <w:szCs w:val="30"/>
        </w:rPr>
        <w:t>（二）编著、工具书、教材、译著等</w:t>
      </w:r>
    </w:p>
    <w:p>
      <w:pPr>
        <w:widowControl/>
        <w:ind w:firstLine="630" w:firstLineChars="21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1.个人独编的，按2分/千字计分。</w:t>
      </w:r>
    </w:p>
    <w:p>
      <w:pPr>
        <w:widowControl/>
        <w:ind w:firstLine="630" w:firstLineChars="21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2.多人合编、未注明主编但已标明各作者撰稿量的，按各作者的撰稿量2分/千字计分；未标明作者撰稿字数的，第一作者按总字数的60％计算，40％由其余各位作者均分。</w:t>
      </w:r>
    </w:p>
    <w:p>
      <w:pPr>
        <w:widowControl/>
        <w:ind w:firstLine="384"/>
        <w:jc w:val="left"/>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3.多人合编且注明主编的，按2分/千字的标准计算该书的总分后，提取5%为第一主编工作量，剩余的按注明的撰稿量分配。撰稿量分配未注明的，由主编分配工作量。</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4.修订再版的教材由作者本人提供修订具体情况，经科研处审核后，按实际修订量统计。</w:t>
      </w:r>
    </w:p>
    <w:p>
      <w:pPr>
        <w:widowControl/>
        <w:ind w:firstLine="630" w:firstLineChars="21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5.译著，按</w:t>
      </w:r>
      <w:r>
        <w:rPr>
          <w:rFonts w:hint="eastAsia" w:ascii="仿宋" w:hAnsi="仿宋" w:eastAsia="仿宋" w:cs="仿宋"/>
          <w:b/>
          <w:bCs/>
          <w:color w:val="auto"/>
          <w:kern w:val="0"/>
          <w:sz w:val="30"/>
          <w:szCs w:val="30"/>
          <w:lang w:val="en-US" w:eastAsia="zh-CN"/>
        </w:rPr>
        <w:t>2</w:t>
      </w:r>
      <w:r>
        <w:rPr>
          <w:rFonts w:hint="eastAsia" w:ascii="仿宋" w:hAnsi="仿宋" w:eastAsia="仿宋" w:cs="仿宋"/>
          <w:color w:val="auto"/>
          <w:kern w:val="0"/>
          <w:sz w:val="30"/>
          <w:szCs w:val="30"/>
        </w:rPr>
        <w:t>分/千字计分。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第八条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论文类计分标准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论文类科研成果计分的具体标准是：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（一）发表在《中国社会科学》、《中国科学》上的论文和被《新华文摘》全文转摘的论文：50分/千字。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（二）发表在重要核心期刊上的论文：30分/千字。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（三）发表在一般核心期刊上的论文：15分/千字。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（四）发表在虽属核心期刊，但系非正常刊期内的增刊、专刊、特刊等上的论文：4分/千字。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（五）一般期刊论文：10分/千字。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（六）属一般期刊，但系非正常刊期内的增刊、专刊、特刊等发表的论文：3分/千字。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（七）有省级出版局准印证的连续出版物：3分/千字。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（八）有书号正式出版的论文集收录的论文：5分/千字。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（九）两人以上合作的论文，第一署名人按总分的60％得分，剩余40%由其他署名人均分。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十）除被《新华文摘》、《中国社会科学文摘》、中国人民大学《报刊复印资料》、《高等学校文科学术文摘》和《报刊文摘》转载的文章、观点摘编外，在报刊上发表的报道、信息、随笔、游记或访谈、对话形式等文章，以及在报纸上发表的论文不满</w:t>
      </w:r>
      <w:r>
        <w:rPr>
          <w:rFonts w:hint="eastAsia" w:ascii="仿宋" w:hAnsi="仿宋" w:eastAsia="仿宋" w:cs="仿宋"/>
          <w:b w:val="0"/>
          <w:bCs w:val="0"/>
          <w:color w:val="auto"/>
          <w:kern w:val="0"/>
          <w:sz w:val="30"/>
          <w:szCs w:val="30"/>
          <w:lang w:val="en-US" w:eastAsia="zh-CN"/>
        </w:rPr>
        <w:t>1000字的</w:t>
      </w:r>
      <w:r>
        <w:rPr>
          <w:rFonts w:hint="eastAsia" w:ascii="仿宋" w:hAnsi="仿宋" w:eastAsia="仿宋" w:cs="仿宋"/>
          <w:color w:val="auto"/>
          <w:kern w:val="0"/>
          <w:sz w:val="30"/>
          <w:szCs w:val="30"/>
          <w:lang w:val="en-US" w:eastAsia="zh-CN"/>
        </w:rPr>
        <w:t>、在期刊（或论文集）上的论文不满3000字的，均不列入计分范围。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第九条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课题类计分标准</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列入考核的课题必须事先经学校批准，课题经费进入学校计财处，并在科研处有申报材料备案。课题组成员必须是课题申请表中所列成员；非课题组成员不列入考核。</w:t>
      </w:r>
    </w:p>
    <w:p>
      <w:pPr>
        <w:widowControl/>
        <w:ind w:firstLine="384"/>
        <w:jc w:val="left"/>
        <w:rPr>
          <w:rFonts w:hint="eastAsia" w:ascii="楷体" w:hAnsi="楷体" w:eastAsia="楷体" w:cs="楷体"/>
          <w:b/>
          <w:bCs/>
          <w:color w:val="auto"/>
          <w:kern w:val="0"/>
          <w:sz w:val="30"/>
          <w:szCs w:val="30"/>
        </w:rPr>
      </w:pPr>
      <w:r>
        <w:rPr>
          <w:rFonts w:hint="eastAsia" w:ascii="楷体" w:hAnsi="楷体" w:eastAsia="楷体" w:cs="楷体"/>
          <w:b/>
          <w:bCs/>
          <w:color w:val="auto"/>
          <w:kern w:val="0"/>
          <w:sz w:val="30"/>
          <w:szCs w:val="30"/>
        </w:rPr>
        <w:t>（一）纵向课题</w:t>
      </w:r>
    </w:p>
    <w:p>
      <w:pPr>
        <w:widowControl/>
        <w:ind w:firstLine="480"/>
        <w:jc w:val="left"/>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1.国家级课题</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国家级重大课题按照600分计算，由课题组成员分配，人均不超过100分；课题主持人科研工作考核所应完成的科研分3年内免予考核。</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国家级重点课题按照400分计算，由课题组成员分配，人均不超过100分；课题主持人科研工作考核所应完成的科研分2年内免予考核。</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国家级一般课题按照300分计算，由课题组成员分配，人均不超过100分；课题主持人科研工作考核所应完成的科研分2年内免予考核。</w:t>
      </w:r>
    </w:p>
    <w:p>
      <w:pPr>
        <w:widowControl/>
        <w:ind w:firstLine="480"/>
        <w:jc w:val="left"/>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2.省部级课题</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省部级重点课题按照200分计算，由课题组成员分配，人均不超过100分；课题主持人科研工作考核所应完成的科研分2年内免予考核。</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省部级一般课题按照100分计算，由课题组成员均分；课题主持人科研工作考核所应完成的科研分1年内免予考核。</w:t>
      </w:r>
    </w:p>
    <w:p>
      <w:pPr>
        <w:widowControl/>
        <w:ind w:firstLine="480"/>
        <w:jc w:val="left"/>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3.</w:t>
      </w:r>
      <w:r>
        <w:rPr>
          <w:rFonts w:hint="eastAsia" w:ascii="仿宋" w:hAnsi="仿宋" w:eastAsia="仿宋" w:cs="仿宋"/>
          <w:b/>
          <w:bCs/>
          <w:color w:val="auto"/>
          <w:kern w:val="0"/>
          <w:sz w:val="30"/>
          <w:szCs w:val="30"/>
          <w:lang w:eastAsia="zh-CN"/>
        </w:rPr>
        <w:t>厅局级</w:t>
      </w:r>
      <w:r>
        <w:rPr>
          <w:rFonts w:hint="eastAsia" w:ascii="仿宋" w:hAnsi="仿宋" w:eastAsia="仿宋" w:cs="仿宋"/>
          <w:b/>
          <w:bCs/>
          <w:color w:val="auto"/>
          <w:kern w:val="0"/>
          <w:sz w:val="30"/>
          <w:szCs w:val="30"/>
        </w:rPr>
        <w:t>课题</w:t>
      </w:r>
    </w:p>
    <w:p>
      <w:pPr>
        <w:widowControl/>
        <w:ind w:firstLine="480"/>
        <w:jc w:val="left"/>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lang w:eastAsia="zh-CN"/>
        </w:rPr>
        <w:t>厅局级</w:t>
      </w:r>
      <w:r>
        <w:rPr>
          <w:rFonts w:hint="eastAsia" w:ascii="仿宋" w:hAnsi="仿宋" w:eastAsia="仿宋" w:cs="仿宋"/>
          <w:b w:val="0"/>
          <w:bCs w:val="0"/>
          <w:color w:val="auto"/>
          <w:kern w:val="0"/>
          <w:sz w:val="30"/>
          <w:szCs w:val="30"/>
        </w:rPr>
        <w:t>课题是指上海市教委、</w:t>
      </w:r>
      <w:r>
        <w:rPr>
          <w:rFonts w:hint="eastAsia" w:ascii="仿宋" w:hAnsi="仿宋" w:eastAsia="仿宋" w:cs="仿宋"/>
          <w:b w:val="0"/>
          <w:bCs w:val="0"/>
          <w:color w:val="auto"/>
          <w:kern w:val="0"/>
          <w:sz w:val="30"/>
          <w:szCs w:val="30"/>
          <w:lang w:eastAsia="zh-CN"/>
        </w:rPr>
        <w:t>上海市</w:t>
      </w:r>
      <w:r>
        <w:rPr>
          <w:rFonts w:hint="eastAsia" w:ascii="仿宋" w:hAnsi="仿宋" w:eastAsia="仿宋" w:cs="仿宋"/>
          <w:b w:val="0"/>
          <w:bCs w:val="0"/>
          <w:color w:val="auto"/>
          <w:kern w:val="0"/>
          <w:sz w:val="30"/>
          <w:szCs w:val="30"/>
        </w:rPr>
        <w:t>法学会、</w:t>
      </w:r>
      <w:r>
        <w:rPr>
          <w:rFonts w:hint="eastAsia" w:ascii="仿宋" w:hAnsi="仿宋" w:eastAsia="仿宋" w:cs="仿宋"/>
          <w:b w:val="0"/>
          <w:bCs w:val="0"/>
          <w:color w:val="auto"/>
          <w:kern w:val="0"/>
          <w:sz w:val="30"/>
          <w:szCs w:val="30"/>
          <w:lang w:eastAsia="zh-CN"/>
        </w:rPr>
        <w:t>上海市</w:t>
      </w:r>
      <w:r>
        <w:rPr>
          <w:rFonts w:hint="eastAsia" w:ascii="仿宋" w:hAnsi="仿宋" w:eastAsia="仿宋" w:cs="仿宋"/>
          <w:b w:val="0"/>
          <w:bCs w:val="0"/>
          <w:color w:val="auto"/>
          <w:kern w:val="0"/>
          <w:sz w:val="30"/>
          <w:szCs w:val="30"/>
        </w:rPr>
        <w:t>体育局等单位发布的课题。</w:t>
      </w:r>
      <w:r>
        <w:rPr>
          <w:rFonts w:hint="eastAsia" w:ascii="仿宋" w:hAnsi="仿宋" w:eastAsia="仿宋" w:cs="仿宋"/>
          <w:b w:val="0"/>
          <w:bCs w:val="0"/>
          <w:color w:val="auto"/>
          <w:kern w:val="0"/>
          <w:sz w:val="30"/>
          <w:szCs w:val="30"/>
          <w:lang w:eastAsia="zh-CN"/>
        </w:rPr>
        <w:t>厅局级</w:t>
      </w:r>
      <w:r>
        <w:rPr>
          <w:rFonts w:hint="eastAsia" w:ascii="仿宋" w:hAnsi="仿宋" w:eastAsia="仿宋" w:cs="仿宋"/>
          <w:b w:val="0"/>
          <w:bCs w:val="0"/>
          <w:color w:val="auto"/>
          <w:kern w:val="0"/>
          <w:sz w:val="30"/>
          <w:szCs w:val="30"/>
        </w:rPr>
        <w:t>课题重点项目按照100分</w:t>
      </w:r>
      <w:r>
        <w:rPr>
          <w:rFonts w:hint="eastAsia" w:ascii="仿宋" w:hAnsi="仿宋" w:eastAsia="仿宋" w:cs="仿宋"/>
          <w:b w:val="0"/>
          <w:bCs w:val="0"/>
          <w:color w:val="auto"/>
          <w:kern w:val="0"/>
          <w:sz w:val="30"/>
          <w:szCs w:val="30"/>
          <w:lang w:val="en-US" w:eastAsia="zh-CN"/>
        </w:rPr>
        <w:t>/项</w:t>
      </w:r>
      <w:r>
        <w:rPr>
          <w:rFonts w:hint="eastAsia" w:ascii="仿宋" w:hAnsi="仿宋" w:eastAsia="仿宋" w:cs="仿宋"/>
          <w:b w:val="0"/>
          <w:bCs w:val="0"/>
          <w:color w:val="auto"/>
          <w:kern w:val="0"/>
          <w:sz w:val="30"/>
          <w:szCs w:val="30"/>
        </w:rPr>
        <w:t>计算，由课题组成员均分；课题主持人科研工作考核所应完成的科研分1年内免予考核。</w:t>
      </w:r>
      <w:r>
        <w:rPr>
          <w:rFonts w:hint="eastAsia" w:ascii="仿宋" w:hAnsi="仿宋" w:eastAsia="仿宋" w:cs="仿宋"/>
          <w:b w:val="0"/>
          <w:bCs w:val="0"/>
          <w:color w:val="auto"/>
          <w:kern w:val="0"/>
          <w:sz w:val="30"/>
          <w:szCs w:val="30"/>
          <w:lang w:eastAsia="zh-CN"/>
        </w:rPr>
        <w:t>厅局级</w:t>
      </w:r>
      <w:r>
        <w:rPr>
          <w:rFonts w:hint="eastAsia" w:ascii="仿宋" w:hAnsi="仿宋" w:eastAsia="仿宋" w:cs="仿宋"/>
          <w:b w:val="0"/>
          <w:bCs w:val="0"/>
          <w:color w:val="auto"/>
          <w:kern w:val="0"/>
          <w:sz w:val="30"/>
          <w:szCs w:val="30"/>
        </w:rPr>
        <w:t>课题一般项目、青年项目按照80分</w:t>
      </w:r>
      <w:r>
        <w:rPr>
          <w:rFonts w:hint="eastAsia" w:ascii="仿宋" w:hAnsi="仿宋" w:eastAsia="仿宋" w:cs="仿宋"/>
          <w:b w:val="0"/>
          <w:bCs w:val="0"/>
          <w:color w:val="auto"/>
          <w:kern w:val="0"/>
          <w:sz w:val="30"/>
          <w:szCs w:val="30"/>
          <w:lang w:val="en-US" w:eastAsia="zh-CN"/>
        </w:rPr>
        <w:t>/项</w:t>
      </w:r>
      <w:r>
        <w:rPr>
          <w:rFonts w:hint="eastAsia" w:ascii="仿宋" w:hAnsi="仿宋" w:eastAsia="仿宋" w:cs="仿宋"/>
          <w:b w:val="0"/>
          <w:bCs w:val="0"/>
          <w:color w:val="auto"/>
          <w:kern w:val="0"/>
          <w:sz w:val="30"/>
          <w:szCs w:val="30"/>
        </w:rPr>
        <w:t>计算。</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以上纵向课题相关计分规定，在课题规定结项期限内有效。</w:t>
      </w:r>
    </w:p>
    <w:p>
      <w:pPr>
        <w:widowControl/>
        <w:ind w:firstLine="384"/>
        <w:jc w:val="left"/>
        <w:rPr>
          <w:rFonts w:hint="eastAsia" w:ascii="楷体" w:hAnsi="楷体" w:eastAsia="楷体" w:cs="楷体"/>
          <w:b/>
          <w:bCs/>
          <w:color w:val="auto"/>
          <w:kern w:val="0"/>
          <w:sz w:val="30"/>
          <w:szCs w:val="30"/>
        </w:rPr>
      </w:pPr>
      <w:r>
        <w:rPr>
          <w:rFonts w:hint="eastAsia" w:ascii="楷体" w:hAnsi="楷体" w:eastAsia="楷体" w:cs="楷体"/>
          <w:b/>
          <w:bCs/>
          <w:color w:val="auto"/>
          <w:kern w:val="0"/>
          <w:sz w:val="30"/>
          <w:szCs w:val="30"/>
        </w:rPr>
        <w:t>（二）横向课题</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经费为5万元以下的，一项按照20分计算；经费为5-8万元的，一项按照40分计算；经费为8-11万元的，一项按照60分计算；经费为11-15万元的，一项按照80分计算；经费为15万元以上的，一项按130分计算。</w:t>
      </w:r>
    </w:p>
    <w:p>
      <w:pPr>
        <w:widowControl/>
        <w:ind w:firstLine="384"/>
        <w:jc w:val="left"/>
        <w:rPr>
          <w:rFonts w:hint="eastAsia" w:ascii="楷体" w:hAnsi="楷体" w:eastAsia="楷体" w:cs="楷体"/>
          <w:b/>
          <w:bCs/>
          <w:color w:val="auto"/>
          <w:kern w:val="0"/>
          <w:sz w:val="30"/>
          <w:szCs w:val="30"/>
        </w:rPr>
      </w:pPr>
      <w:r>
        <w:rPr>
          <w:rFonts w:hint="eastAsia" w:ascii="楷体" w:hAnsi="楷体" w:eastAsia="楷体" w:cs="楷体"/>
          <w:b/>
          <w:bCs/>
          <w:color w:val="auto"/>
          <w:kern w:val="0"/>
          <w:sz w:val="30"/>
          <w:szCs w:val="30"/>
        </w:rPr>
        <w:t>（三）校级课题</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一项按照30分计算。课题在立项时按照总分的50％计分；批准结项时按照总分的50％计分。以“不合格”终结的项目不再计结项分。</w:t>
      </w:r>
    </w:p>
    <w:p>
      <w:pPr>
        <w:widowControl/>
        <w:ind w:firstLine="48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课题组成员得分由课题组长分配，并以书面形式交科研处备案。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第十条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报纸类计分标准</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发表在报纸理论版上的学术论文的计分标准：</w:t>
      </w:r>
    </w:p>
    <w:p>
      <w:pPr>
        <w:widowControl/>
        <w:ind w:firstLine="360"/>
        <w:jc w:val="left"/>
        <w:rPr>
          <w:rFonts w:hint="eastAsia" w:ascii="仿宋" w:hAnsi="仿宋" w:eastAsia="仿宋" w:cs="仿宋"/>
          <w:color w:val="auto"/>
          <w:kern w:val="0"/>
          <w:sz w:val="30"/>
          <w:szCs w:val="30"/>
        </w:rPr>
      </w:pPr>
      <w:r>
        <w:rPr>
          <w:rFonts w:hint="eastAsia" w:ascii="楷体" w:hAnsi="楷体" w:eastAsia="楷体" w:cs="楷体"/>
          <w:b/>
          <w:bCs/>
          <w:color w:val="auto"/>
          <w:kern w:val="0"/>
          <w:sz w:val="30"/>
          <w:szCs w:val="30"/>
        </w:rPr>
        <w:t>（一）重要报纸：</w:t>
      </w:r>
      <w:r>
        <w:rPr>
          <w:rFonts w:hint="eastAsia" w:ascii="仿宋" w:hAnsi="仿宋" w:eastAsia="仿宋" w:cs="仿宋"/>
          <w:color w:val="auto"/>
          <w:kern w:val="0"/>
          <w:sz w:val="30"/>
          <w:szCs w:val="30"/>
        </w:rPr>
        <w:t>30分/千字。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1.《人民日报》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2.《光明日报》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3.《法制日报》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4.《</w:t>
      </w:r>
      <w:r>
        <w:rPr>
          <w:rFonts w:hint="eastAsia" w:ascii="仿宋" w:hAnsi="仿宋" w:eastAsia="仿宋" w:cs="仿宋"/>
          <w:b w:val="0"/>
          <w:bCs w:val="0"/>
          <w:color w:val="auto"/>
          <w:kern w:val="0"/>
          <w:sz w:val="30"/>
          <w:szCs w:val="30"/>
          <w:lang w:eastAsia="zh-CN"/>
        </w:rPr>
        <w:t>中国社会科学报</w:t>
      </w:r>
      <w:r>
        <w:rPr>
          <w:rFonts w:hint="eastAsia" w:ascii="仿宋" w:hAnsi="仿宋" w:eastAsia="仿宋" w:cs="仿宋"/>
          <w:b w:val="0"/>
          <w:bCs w:val="0"/>
          <w:color w:val="auto"/>
          <w:kern w:val="0"/>
          <w:sz w:val="30"/>
          <w:szCs w:val="30"/>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5.《中国教育报》</w:t>
      </w:r>
    </w:p>
    <w:p>
      <w:pPr>
        <w:widowControl/>
        <w:ind w:firstLine="360"/>
        <w:jc w:val="left"/>
        <w:rPr>
          <w:rFonts w:hint="eastAsia" w:ascii="仿宋" w:hAnsi="仿宋" w:eastAsia="仿宋" w:cs="仿宋"/>
          <w:color w:val="auto"/>
          <w:kern w:val="0"/>
          <w:sz w:val="30"/>
          <w:szCs w:val="30"/>
          <w:lang w:eastAsia="zh-CN"/>
        </w:rPr>
      </w:pPr>
      <w:r>
        <w:rPr>
          <w:rFonts w:hint="eastAsia" w:ascii="楷体" w:hAnsi="楷体" w:eastAsia="楷体" w:cs="楷体"/>
          <w:b/>
          <w:bCs/>
          <w:color w:val="auto"/>
          <w:kern w:val="0"/>
          <w:sz w:val="30"/>
          <w:szCs w:val="30"/>
          <w:lang w:eastAsia="zh-CN"/>
        </w:rPr>
        <w:t>（二）一般报纸</w:t>
      </w:r>
      <w:r>
        <w:rPr>
          <w:rFonts w:hint="eastAsia" w:ascii="楷体" w:hAnsi="楷体" w:eastAsia="楷体" w:cs="楷体"/>
          <w:b/>
          <w:bCs/>
          <w:color w:val="auto"/>
          <w:kern w:val="0"/>
          <w:sz w:val="30"/>
          <w:szCs w:val="30"/>
        </w:rPr>
        <w:t>：</w:t>
      </w:r>
      <w:r>
        <w:rPr>
          <w:rFonts w:hint="eastAsia" w:ascii="仿宋" w:hAnsi="仿宋" w:eastAsia="仿宋" w:cs="仿宋"/>
          <w:color w:val="auto"/>
          <w:kern w:val="0"/>
          <w:sz w:val="30"/>
          <w:szCs w:val="30"/>
        </w:rPr>
        <w:t>15分/千字。</w:t>
      </w:r>
    </w:p>
    <w:p>
      <w:pPr>
        <w:widowControl/>
        <w:ind w:firstLine="600" w:firstLineChars="20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1.《文汇报》</w:t>
      </w:r>
    </w:p>
    <w:p>
      <w:pPr>
        <w:widowControl/>
        <w:ind w:firstLine="600" w:firstLineChars="20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2.《解放日报》</w:t>
      </w:r>
    </w:p>
    <w:p>
      <w:pPr>
        <w:widowControl/>
        <w:numPr>
          <w:ilvl w:val="0"/>
          <w:numId w:val="0"/>
        </w:numPr>
        <w:ind w:firstLine="600" w:firstLineChars="20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3.《人民法院报》</w:t>
      </w:r>
    </w:p>
    <w:p>
      <w:pPr>
        <w:widowControl/>
        <w:numPr>
          <w:ilvl w:val="0"/>
          <w:numId w:val="0"/>
        </w:numPr>
        <w:ind w:firstLine="600" w:firstLineChars="20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4.《检察日报》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第十一条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内参类计分标准</w:t>
      </w:r>
    </w:p>
    <w:p>
      <w:pPr>
        <w:widowControl/>
        <w:ind w:firstLine="600" w:firstLineChars="200"/>
        <w:jc w:val="left"/>
        <w:rPr>
          <w:rFonts w:hint="eastAsia" w:ascii="仿宋" w:hAnsi="仿宋" w:eastAsia="仿宋" w:cs="仿宋"/>
          <w:b w:val="0"/>
          <w:bCs/>
          <w:color w:val="auto"/>
          <w:sz w:val="30"/>
          <w:szCs w:val="30"/>
        </w:rPr>
      </w:pPr>
      <w:r>
        <w:rPr>
          <w:rFonts w:hint="eastAsia" w:ascii="仿宋" w:hAnsi="仿宋" w:eastAsia="仿宋" w:cs="仿宋"/>
          <w:b w:val="0"/>
          <w:bCs/>
          <w:color w:val="auto"/>
          <w:kern w:val="0"/>
          <w:sz w:val="30"/>
          <w:szCs w:val="30"/>
          <w:u w:val="none"/>
          <w:lang w:eastAsia="zh-CN"/>
        </w:rPr>
        <w:t>内参、</w:t>
      </w:r>
      <w:r>
        <w:rPr>
          <w:rFonts w:hint="eastAsia" w:ascii="仿宋" w:hAnsi="仿宋" w:eastAsia="仿宋" w:cs="仿宋"/>
          <w:b w:val="0"/>
          <w:bCs/>
          <w:color w:val="auto"/>
          <w:kern w:val="0"/>
          <w:sz w:val="30"/>
          <w:szCs w:val="30"/>
          <w:u w:val="none"/>
        </w:rPr>
        <w:t>决策咨询报告</w:t>
      </w:r>
      <w:r>
        <w:rPr>
          <w:rFonts w:hint="eastAsia" w:ascii="仿宋" w:hAnsi="仿宋" w:eastAsia="仿宋" w:cs="仿宋"/>
          <w:b w:val="0"/>
          <w:bCs/>
          <w:color w:val="auto"/>
          <w:kern w:val="0"/>
          <w:sz w:val="30"/>
          <w:szCs w:val="30"/>
          <w:u w:val="none"/>
          <w:lang w:eastAsia="zh-CN"/>
        </w:rPr>
        <w:t>被</w:t>
      </w:r>
      <w:r>
        <w:rPr>
          <w:rFonts w:hint="eastAsia" w:ascii="仿宋" w:hAnsi="仿宋" w:eastAsia="仿宋" w:cs="仿宋"/>
          <w:b w:val="0"/>
          <w:bCs/>
          <w:color w:val="auto"/>
          <w:kern w:val="0"/>
          <w:sz w:val="30"/>
          <w:szCs w:val="30"/>
          <w:u w:val="none"/>
        </w:rPr>
        <w:t>省部级领导批示的，</w:t>
      </w:r>
      <w:r>
        <w:rPr>
          <w:rFonts w:hint="eastAsia" w:ascii="仿宋" w:hAnsi="仿宋" w:eastAsia="仿宋" w:cs="仿宋"/>
          <w:b w:val="0"/>
          <w:bCs/>
          <w:color w:val="auto"/>
          <w:kern w:val="0"/>
          <w:sz w:val="30"/>
          <w:szCs w:val="30"/>
          <w:u w:val="none"/>
          <w:lang w:val="en-US" w:eastAsia="zh-CN"/>
        </w:rPr>
        <w:t>30</w:t>
      </w:r>
      <w:r>
        <w:rPr>
          <w:rFonts w:hint="eastAsia" w:ascii="仿宋" w:hAnsi="仿宋" w:eastAsia="仿宋" w:cs="仿宋"/>
          <w:b w:val="0"/>
          <w:bCs/>
          <w:color w:val="auto"/>
          <w:kern w:val="0"/>
          <w:sz w:val="30"/>
          <w:szCs w:val="30"/>
          <w:u w:val="none"/>
        </w:rPr>
        <w:t>分/</w:t>
      </w:r>
      <w:r>
        <w:rPr>
          <w:rFonts w:hint="eastAsia" w:ascii="仿宋" w:hAnsi="仿宋" w:eastAsia="仿宋" w:cs="仿宋"/>
          <w:b w:val="0"/>
          <w:bCs/>
          <w:color w:val="auto"/>
          <w:kern w:val="0"/>
          <w:sz w:val="30"/>
          <w:szCs w:val="30"/>
          <w:u w:val="none"/>
          <w:lang w:eastAsia="zh-CN"/>
        </w:rPr>
        <w:t>篇</w:t>
      </w:r>
      <w:r>
        <w:rPr>
          <w:rFonts w:hint="eastAsia" w:ascii="仿宋" w:hAnsi="仿宋" w:eastAsia="仿宋" w:cs="仿宋"/>
          <w:b w:val="0"/>
          <w:bCs/>
          <w:color w:val="auto"/>
          <w:kern w:val="0"/>
          <w:sz w:val="30"/>
          <w:szCs w:val="30"/>
          <w:u w:val="none"/>
        </w:rPr>
        <w:t>，</w:t>
      </w:r>
      <w:r>
        <w:rPr>
          <w:rFonts w:hint="eastAsia" w:ascii="仿宋" w:hAnsi="仿宋" w:eastAsia="仿宋" w:cs="仿宋"/>
          <w:b w:val="0"/>
          <w:bCs/>
          <w:color w:val="auto"/>
          <w:kern w:val="0"/>
          <w:sz w:val="30"/>
          <w:szCs w:val="30"/>
          <w:u w:val="none"/>
          <w:lang w:eastAsia="zh-CN"/>
        </w:rPr>
        <w:t>内参、</w:t>
      </w:r>
      <w:r>
        <w:rPr>
          <w:rFonts w:hint="eastAsia" w:ascii="仿宋" w:hAnsi="仿宋" w:eastAsia="仿宋" w:cs="仿宋"/>
          <w:b w:val="0"/>
          <w:bCs/>
          <w:color w:val="auto"/>
          <w:kern w:val="0"/>
          <w:sz w:val="30"/>
          <w:szCs w:val="30"/>
          <w:u w:val="none"/>
        </w:rPr>
        <w:t>决策咨询报告被国家级领导批示的，</w:t>
      </w:r>
      <w:r>
        <w:rPr>
          <w:rFonts w:hint="eastAsia" w:ascii="仿宋" w:hAnsi="仿宋" w:eastAsia="仿宋" w:cs="仿宋"/>
          <w:b w:val="0"/>
          <w:bCs/>
          <w:color w:val="auto"/>
          <w:kern w:val="0"/>
          <w:sz w:val="30"/>
          <w:szCs w:val="30"/>
          <w:u w:val="none"/>
          <w:lang w:val="en-US" w:eastAsia="zh-CN"/>
        </w:rPr>
        <w:t>50</w:t>
      </w:r>
      <w:r>
        <w:rPr>
          <w:rFonts w:hint="eastAsia" w:ascii="仿宋" w:hAnsi="仿宋" w:eastAsia="仿宋" w:cs="仿宋"/>
          <w:b w:val="0"/>
          <w:bCs/>
          <w:color w:val="auto"/>
          <w:kern w:val="0"/>
          <w:sz w:val="30"/>
          <w:szCs w:val="30"/>
          <w:u w:val="none"/>
        </w:rPr>
        <w:t>分/</w:t>
      </w:r>
      <w:r>
        <w:rPr>
          <w:rFonts w:hint="eastAsia" w:ascii="仿宋" w:hAnsi="仿宋" w:eastAsia="仿宋" w:cs="仿宋"/>
          <w:b w:val="0"/>
          <w:bCs/>
          <w:color w:val="auto"/>
          <w:kern w:val="0"/>
          <w:sz w:val="30"/>
          <w:szCs w:val="30"/>
          <w:u w:val="none"/>
          <w:lang w:eastAsia="zh-CN"/>
        </w:rPr>
        <w:t>篇</w:t>
      </w:r>
      <w:r>
        <w:rPr>
          <w:rFonts w:hint="eastAsia" w:ascii="仿宋" w:hAnsi="仿宋" w:eastAsia="仿宋" w:cs="仿宋"/>
          <w:b w:val="0"/>
          <w:bCs/>
          <w:color w:val="auto"/>
          <w:kern w:val="0"/>
          <w:sz w:val="30"/>
          <w:szCs w:val="30"/>
          <w:u w:val="none"/>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第十二条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发表在国外、境外的成果计分</w:t>
      </w:r>
    </w:p>
    <w:p>
      <w:pPr>
        <w:widowControl/>
        <w:ind w:firstLine="384"/>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发表在国外、境外的著作及学术论文等科研成果，根据被考核人员提供的由上海图书馆上海科学技术情报研究所出具的图书情报检索数据信息证明，按照境内相应类型同档次期刊分值的130％计分。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第十三条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先发论文与后出专著的计分</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先发论文与后出专著的计分</w:t>
      </w:r>
    </w:p>
    <w:p>
      <w:pPr>
        <w:widowControl/>
        <w:ind w:firstLine="384"/>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发表的论文与出版的专著、课题研究报告属同一内容的，不影响分别计分。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第十四条</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其他事项规定</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（一）在CSSCI来源期刊上发表的翻译论文，认定为CSSCI来源期刊上发表的论文，享受科研奖励；发表在自然科学类期刊上的论文以北大核心期刊为考核标准。</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（二）凡不符合国家新闻出版总署2005年第31号文件《期刊出版管理规定》第三十三条规定的一号多刊、一号多版、一刊多版的期刊，不作科研考核统计。</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三）个人撰写（非合著）的学术专著出版后所获得的超额分，以及核心期刊超额定量部分允许转入下一年科研考核统计，但应在本年度12月1日前向科研处提出书面申请。未提出申请者，视为本人同意科研工作量当年结清。</w:t>
      </w:r>
    </w:p>
    <w:p>
      <w:pPr>
        <w:widowControl/>
        <w:ind w:firstLine="48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四</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论文、专著、</w:t>
      </w:r>
      <w:r>
        <w:rPr>
          <w:rFonts w:hint="eastAsia" w:ascii="仿宋" w:hAnsi="仿宋" w:eastAsia="仿宋" w:cs="仿宋"/>
          <w:b/>
          <w:color w:val="auto"/>
          <w:kern w:val="0"/>
          <w:sz w:val="30"/>
          <w:szCs w:val="30"/>
          <w:u w:val="none"/>
          <w:lang w:eastAsia="zh-CN"/>
        </w:rPr>
        <w:t>点校、校勘、译著</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内参、</w:t>
      </w:r>
      <w:r>
        <w:rPr>
          <w:rFonts w:hint="eastAsia" w:ascii="仿宋" w:hAnsi="仿宋" w:eastAsia="仿宋" w:cs="仿宋"/>
          <w:b/>
          <w:bCs w:val="0"/>
          <w:color w:val="auto"/>
          <w:kern w:val="0"/>
          <w:sz w:val="30"/>
          <w:szCs w:val="30"/>
          <w:u w:val="none"/>
          <w:lang w:eastAsia="zh-CN"/>
        </w:rPr>
        <w:t>决策咨询报告</w:t>
      </w:r>
      <w:r>
        <w:rPr>
          <w:rFonts w:hint="eastAsia" w:ascii="仿宋" w:hAnsi="仿宋" w:eastAsia="仿宋" w:cs="仿宋"/>
          <w:color w:val="auto"/>
          <w:kern w:val="0"/>
          <w:sz w:val="30"/>
          <w:szCs w:val="30"/>
        </w:rPr>
        <w:t>、项目、获奖成果折合一般核心期刊篇数。</w:t>
      </w:r>
    </w:p>
    <w:tbl>
      <w:tblPr>
        <w:tblStyle w:val="9"/>
        <w:tblW w:w="6885" w:type="dxa"/>
        <w:tblInd w:w="5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0"/>
        <w:gridCol w:w="4200"/>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成果</w:t>
            </w:r>
          </w:p>
        </w:tc>
        <w:tc>
          <w:tcPr>
            <w:tcW w:w="42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类别</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折合数（篇）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论文</w:t>
            </w: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权威期刊</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重要核心</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重要报刊</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4"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人大复印资料全文转载</w:t>
            </w:r>
          </w:p>
        </w:tc>
        <w:tc>
          <w:tcPr>
            <w:tcW w:w="1695"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4"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中国社会科学文摘摘编2500字以上</w:t>
            </w:r>
          </w:p>
        </w:tc>
        <w:tc>
          <w:tcPr>
            <w:tcW w:w="1695"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五大数据库之外其他外文期刊上发表2篇论文</w:t>
            </w:r>
          </w:p>
        </w:tc>
        <w:tc>
          <w:tcPr>
            <w:tcW w:w="1695"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内参</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single"/>
                <w:lang w:val="en-US" w:eastAsia="zh-CN" w:bidi="ar"/>
              </w:rPr>
            </w:pPr>
            <w:r>
              <w:rPr>
                <w:rFonts w:hint="eastAsia" w:ascii="仿宋" w:hAnsi="仿宋" w:eastAsia="仿宋" w:cs="仿宋"/>
                <w:b w:val="0"/>
                <w:bCs w:val="0"/>
                <w:i w:val="0"/>
                <w:color w:val="auto"/>
                <w:kern w:val="0"/>
                <w:sz w:val="24"/>
                <w:szCs w:val="24"/>
                <w:u w:val="none"/>
                <w:lang w:val="en-US" w:eastAsia="zh-CN" w:bidi="ar"/>
              </w:rPr>
              <w:t>《中国监狱学刊》</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 w:hRule="atLeast"/>
        </w:trPr>
        <w:tc>
          <w:tcPr>
            <w:tcW w:w="9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著作</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30万字以上专著</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 w:hRule="atLeast"/>
        </w:trPr>
        <w:tc>
          <w:tcPr>
            <w:tcW w:w="9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15万字以上专著</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 w:hRule="atLeast"/>
        </w:trPr>
        <w:tc>
          <w:tcPr>
            <w:tcW w:w="9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20万字以上点校、校勘、译著</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科研项目</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国家级重大项目</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国家级重点项目</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国家级一般项目</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省部级重点项目</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省部级一般项目</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lang w:eastAsia="zh-CN"/>
              </w:rPr>
            </w:pPr>
            <w:r>
              <w:rPr>
                <w:rFonts w:hint="eastAsia" w:ascii="仿宋" w:hAnsi="仿宋" w:eastAsia="仿宋" w:cs="仿宋"/>
                <w:b w:val="0"/>
                <w:bCs w:val="0"/>
                <w:i w:val="0"/>
                <w:color w:val="auto"/>
                <w:sz w:val="24"/>
                <w:szCs w:val="24"/>
                <w:u w:val="none"/>
                <w:lang w:eastAsia="zh-CN"/>
              </w:rPr>
              <w:t>晨光项目、阳光项目</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val="0"/>
                <w:bCs w:val="0"/>
                <w:i w:val="0"/>
                <w:color w:val="auto"/>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经费10万元以上（含）的横向课题</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restart"/>
            <w:tcBorders>
              <w:top w:val="single" w:color="000000" w:sz="4" w:space="0"/>
              <w:left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p>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p>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科研奖励</w:t>
            </w: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国家级一等奖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 w:hRule="atLeast"/>
        </w:trPr>
        <w:tc>
          <w:tcPr>
            <w:tcW w:w="990" w:type="dxa"/>
            <w:vMerge w:val="continue"/>
            <w:tcBorders>
              <w:left w:val="single" w:color="000000" w:sz="4" w:space="0"/>
              <w:right w:val="single" w:color="000000" w:sz="4" w:space="0"/>
            </w:tcBorders>
            <w:vAlign w:val="top"/>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国家级二等奖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left w:val="single" w:color="000000" w:sz="4" w:space="0"/>
              <w:right w:val="single" w:color="000000" w:sz="4" w:space="0"/>
            </w:tcBorders>
            <w:vAlign w:val="top"/>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国家级三等奖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left w:val="single" w:color="000000" w:sz="4" w:space="0"/>
              <w:right w:val="single" w:color="000000" w:sz="4" w:space="0"/>
            </w:tcBorders>
            <w:vAlign w:val="top"/>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省部级一等奖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 w:hRule="atLeast"/>
        </w:trPr>
        <w:tc>
          <w:tcPr>
            <w:tcW w:w="990" w:type="dxa"/>
            <w:vMerge w:val="continue"/>
            <w:tcBorders>
              <w:left w:val="single" w:color="000000" w:sz="4" w:space="0"/>
              <w:right w:val="single" w:color="000000" w:sz="4" w:space="0"/>
            </w:tcBorders>
            <w:vAlign w:val="top"/>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省部级二等奖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 w:hRule="atLeast"/>
        </w:trPr>
        <w:tc>
          <w:tcPr>
            <w:tcW w:w="990" w:type="dxa"/>
            <w:vMerge w:val="continue"/>
            <w:tcBorders>
              <w:left w:val="single" w:color="000000" w:sz="4" w:space="0"/>
              <w:bottom w:val="single" w:color="000000" w:sz="4" w:space="0"/>
              <w:right w:val="single" w:color="000000" w:sz="4" w:space="0"/>
            </w:tcBorders>
            <w:vAlign w:val="top"/>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省部级三等奖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bl>
    <w:p>
      <w:pPr>
        <w:widowControl/>
        <w:jc w:val="left"/>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“权威期刊”、“重要核心期刊”见本办法第三条规定</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“重要报刊论文”指在重要报刊学术理论版发表的、作者为第一署名作者、上海政法学院为第一署名单位，且字数在1</w:t>
      </w:r>
      <w:r>
        <w:rPr>
          <w:rFonts w:hint="eastAsia" w:ascii="仿宋" w:hAnsi="仿宋" w:eastAsia="仿宋" w:cs="仿宋"/>
          <w:b w:val="0"/>
          <w:bCs w:val="0"/>
          <w:color w:val="auto"/>
          <w:kern w:val="0"/>
          <w:sz w:val="28"/>
          <w:szCs w:val="28"/>
          <w:lang w:val="en-US" w:eastAsia="zh-CN"/>
        </w:rPr>
        <w:t>0</w:t>
      </w:r>
      <w:r>
        <w:rPr>
          <w:rFonts w:hint="eastAsia" w:ascii="仿宋" w:hAnsi="仿宋" w:eastAsia="仿宋" w:cs="仿宋"/>
          <w:b w:val="0"/>
          <w:bCs w:val="0"/>
          <w:color w:val="auto"/>
          <w:kern w:val="0"/>
          <w:sz w:val="28"/>
          <w:szCs w:val="28"/>
        </w:rPr>
        <w:t>00字以上的论文（重要报刊目录见本办法第十条规定）</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发表在同一会议论文集中的论文，每次考核只能认定一篇。</w:t>
      </w:r>
    </w:p>
    <w:p>
      <w:pPr>
        <w:widowControl/>
        <w:ind w:firstLine="560" w:firstLineChars="200"/>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“专著”分独著与合著两类。独著指一人</w:t>
      </w:r>
      <w:r>
        <w:rPr>
          <w:rFonts w:hint="eastAsia" w:ascii="仿宋" w:hAnsi="仿宋" w:eastAsia="仿宋" w:cs="仿宋"/>
          <w:b w:val="0"/>
          <w:bCs w:val="0"/>
          <w:color w:val="auto"/>
          <w:kern w:val="0"/>
          <w:sz w:val="28"/>
          <w:szCs w:val="28"/>
          <w:lang w:eastAsia="zh-CN"/>
        </w:rPr>
        <w:t>撰写</w:t>
      </w:r>
      <w:r>
        <w:rPr>
          <w:rFonts w:hint="eastAsia" w:ascii="仿宋" w:hAnsi="仿宋" w:eastAsia="仿宋" w:cs="仿宋"/>
          <w:b w:val="0"/>
          <w:bCs w:val="0"/>
          <w:color w:val="auto"/>
          <w:kern w:val="0"/>
          <w:sz w:val="28"/>
          <w:szCs w:val="28"/>
        </w:rPr>
        <w:t>、在考核期内公开出版的学术成果。“合著”指二人以上合作</w:t>
      </w:r>
      <w:r>
        <w:rPr>
          <w:rFonts w:hint="eastAsia" w:ascii="仿宋" w:hAnsi="仿宋" w:eastAsia="仿宋" w:cs="仿宋"/>
          <w:b w:val="0"/>
          <w:bCs w:val="0"/>
          <w:color w:val="auto"/>
          <w:kern w:val="0"/>
          <w:sz w:val="28"/>
          <w:szCs w:val="28"/>
          <w:lang w:eastAsia="zh-CN"/>
        </w:rPr>
        <w:t>撰写，</w:t>
      </w:r>
      <w:r>
        <w:rPr>
          <w:rFonts w:hint="eastAsia" w:ascii="仿宋" w:hAnsi="仿宋" w:eastAsia="仿宋" w:cs="仿宋"/>
          <w:b w:val="0"/>
          <w:bCs w:val="0"/>
          <w:color w:val="auto"/>
          <w:kern w:val="0"/>
          <w:sz w:val="28"/>
          <w:szCs w:val="28"/>
        </w:rPr>
        <w:t>在考核期内公开出版的学术成果。字数和出版日期以版权页的标注为准。接受学校资助的专著，可以折抵核心期刊，</w:t>
      </w:r>
      <w:r>
        <w:rPr>
          <w:rFonts w:hint="eastAsia" w:ascii="仿宋" w:hAnsi="仿宋" w:eastAsia="仿宋" w:cs="仿宋"/>
          <w:b w:val="0"/>
          <w:bCs w:val="0"/>
          <w:color w:val="auto"/>
          <w:kern w:val="0"/>
          <w:sz w:val="28"/>
          <w:szCs w:val="28"/>
          <w:lang w:eastAsia="zh-CN"/>
        </w:rPr>
        <w:t>但</w:t>
      </w:r>
      <w:r>
        <w:rPr>
          <w:rFonts w:hint="eastAsia" w:ascii="仿宋" w:hAnsi="仿宋" w:eastAsia="仿宋" w:cs="仿宋"/>
          <w:b w:val="0"/>
          <w:bCs w:val="0"/>
          <w:color w:val="auto"/>
          <w:kern w:val="0"/>
          <w:sz w:val="28"/>
          <w:szCs w:val="28"/>
        </w:rPr>
        <w:t>不予科研奖励。</w:t>
      </w:r>
      <w:r>
        <w:rPr>
          <w:rFonts w:hint="eastAsia" w:ascii="仿宋" w:hAnsi="仿宋" w:eastAsia="仿宋" w:cs="仿宋"/>
          <w:b w:val="0"/>
          <w:bCs w:val="0"/>
          <w:color w:val="auto"/>
          <w:kern w:val="0"/>
          <w:sz w:val="28"/>
          <w:szCs w:val="28"/>
          <w:lang w:val="en-US" w:eastAsia="zh-CN"/>
        </w:rPr>
        <w:t>30万字以下的专著，折合一篇核心论文，成果由作者协商分配，协商不成的，归第一作者。</w:t>
      </w:r>
    </w:p>
    <w:p>
      <w:pPr>
        <w:widowControl/>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国家级项目包括国家哲学社会科学基金课题、自然科学基金课题、软科学基金课题、教育部人文社科重大攻关课题等；国家级重大项目立项时以4篇核心期刊统计；重点项目立项时以3篇核心期刊统计，一般项目立项时以2篇核心期刊统计；按时通过鉴定验收后，按照相应折合篇数统计；项目延期完成的，不予统计。省部级课题包括省、自治区、直辖市、国家部委国家资助的公开招标课题(具体包括教育部、司法部、最高人民法院、最高人民检察院、中国法学会、上海市哲学社会科学规划项目课题、市科委自然科学基金项目、浦江计划项目、曙光计划项目、上海市决策咨询研究课题和国家部委国家资助资金招标课题等)；省部级项目立项时以1篇核心期刊统计；按时通过鉴定验收后，按照相应折合篇数统计；项目延期完成的，不予统计。</w:t>
      </w:r>
    </w:p>
    <w:p>
      <w:pPr>
        <w:widowControl/>
        <w:ind w:firstLine="560" w:firstLineChars="200"/>
        <w:jc w:val="left"/>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4.</w:t>
      </w:r>
      <w:r>
        <w:rPr>
          <w:rFonts w:hint="eastAsia" w:ascii="仿宋" w:hAnsi="仿宋" w:eastAsia="仿宋" w:cs="仿宋"/>
          <w:b w:val="0"/>
          <w:bCs w:val="0"/>
          <w:color w:val="auto"/>
          <w:kern w:val="0"/>
          <w:sz w:val="28"/>
          <w:szCs w:val="28"/>
        </w:rPr>
        <w:t>横向课题经费进入学校账户后，按照上表相应折合篇数统计。在考核周期内，横向课题只能折抵1篇</w:t>
      </w:r>
      <w:r>
        <w:rPr>
          <w:rFonts w:hint="eastAsia" w:ascii="仿宋" w:hAnsi="仿宋" w:eastAsia="仿宋" w:cs="仿宋"/>
          <w:b w:val="0"/>
          <w:bCs w:val="0"/>
          <w:color w:val="auto"/>
          <w:kern w:val="0"/>
          <w:sz w:val="28"/>
          <w:szCs w:val="28"/>
          <w:lang w:eastAsia="zh-CN"/>
        </w:rPr>
        <w:t>核心论文</w:t>
      </w:r>
      <w:r>
        <w:rPr>
          <w:rFonts w:hint="eastAsia" w:ascii="仿宋" w:hAnsi="仿宋" w:eastAsia="仿宋" w:cs="仿宋"/>
          <w:b w:val="0"/>
          <w:bCs w:val="0"/>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lang w:val="en-US" w:eastAsia="zh-CN"/>
        </w:rPr>
        <w:t>5.</w:t>
      </w:r>
      <w:r>
        <w:rPr>
          <w:rFonts w:hint="eastAsia" w:ascii="仿宋" w:hAnsi="仿宋" w:eastAsia="仿宋" w:cs="仿宋"/>
          <w:b w:val="0"/>
          <w:bCs w:val="0"/>
          <w:color w:val="auto"/>
          <w:kern w:val="0"/>
          <w:sz w:val="28"/>
          <w:szCs w:val="28"/>
        </w:rPr>
        <w:t>国家级奖励是</w:t>
      </w:r>
      <w:r>
        <w:rPr>
          <w:rFonts w:hint="eastAsia" w:ascii="仿宋" w:hAnsi="仿宋" w:eastAsia="仿宋" w:cs="仿宋"/>
          <w:b w:val="0"/>
          <w:bCs w:val="0"/>
          <w:color w:val="auto"/>
          <w:kern w:val="0"/>
          <w:sz w:val="28"/>
          <w:szCs w:val="28"/>
          <w:lang w:eastAsia="zh-CN"/>
        </w:rPr>
        <w:t>指</w:t>
      </w:r>
      <w:r>
        <w:rPr>
          <w:rFonts w:hint="eastAsia" w:ascii="仿宋" w:hAnsi="仿宋" w:eastAsia="仿宋" w:cs="仿宋"/>
          <w:b w:val="0"/>
          <w:bCs w:val="0"/>
          <w:color w:val="auto"/>
          <w:kern w:val="0"/>
          <w:sz w:val="28"/>
          <w:szCs w:val="28"/>
        </w:rPr>
        <w:t>教育部高等学校科学研究优秀成果奖等科研奖励；省部级奖励包括上海哲学社会科学优秀奖、上海邓小平理论和宣传优秀奖、中国法学优秀成果奖、董必武法学成果奖等省部级单位的科研奖励。</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8"/>
          <w:szCs w:val="28"/>
          <w:lang w:eastAsia="zh-CN"/>
        </w:rPr>
        <w:t>（五）</w:t>
      </w:r>
      <w:r>
        <w:rPr>
          <w:rFonts w:hint="eastAsia" w:ascii="仿宋" w:hAnsi="仿宋" w:eastAsia="仿宋" w:cs="仿宋"/>
          <w:b w:val="0"/>
          <w:bCs/>
          <w:color w:val="auto"/>
          <w:kern w:val="0"/>
          <w:sz w:val="28"/>
          <w:szCs w:val="28"/>
          <w:u w:val="none"/>
          <w:lang w:eastAsia="zh-CN"/>
        </w:rPr>
        <w:t>决策咨询报告</w:t>
      </w:r>
      <w:r>
        <w:rPr>
          <w:rFonts w:hint="eastAsia" w:ascii="仿宋" w:hAnsi="仿宋" w:eastAsia="仿宋" w:cs="仿宋"/>
          <w:b w:val="0"/>
          <w:bCs/>
          <w:color w:val="auto"/>
          <w:kern w:val="0"/>
          <w:sz w:val="28"/>
          <w:szCs w:val="28"/>
        </w:rPr>
        <w:t>、</w:t>
      </w:r>
      <w:r>
        <w:rPr>
          <w:rFonts w:hint="eastAsia" w:ascii="仿宋" w:hAnsi="仿宋" w:eastAsia="仿宋" w:cs="仿宋"/>
          <w:b w:val="0"/>
          <w:bCs/>
          <w:color w:val="auto"/>
          <w:kern w:val="0"/>
          <w:sz w:val="28"/>
          <w:szCs w:val="28"/>
          <w:lang w:eastAsia="zh-CN"/>
        </w:rPr>
        <w:t>比赛</w:t>
      </w:r>
      <w:r>
        <w:rPr>
          <w:rFonts w:hint="eastAsia" w:ascii="仿宋" w:hAnsi="仿宋" w:eastAsia="仿宋" w:cs="仿宋"/>
          <w:b w:val="0"/>
          <w:bCs/>
          <w:color w:val="auto"/>
          <w:kern w:val="0"/>
          <w:sz w:val="28"/>
          <w:szCs w:val="28"/>
        </w:rPr>
        <w:t>、获奖</w:t>
      </w:r>
      <w:r>
        <w:rPr>
          <w:rFonts w:hint="eastAsia" w:ascii="仿宋" w:hAnsi="仿宋" w:eastAsia="仿宋" w:cs="仿宋"/>
          <w:color w:val="auto"/>
          <w:kern w:val="0"/>
          <w:sz w:val="28"/>
          <w:szCs w:val="28"/>
        </w:rPr>
        <w:t>成果折</w:t>
      </w:r>
      <w:r>
        <w:rPr>
          <w:rFonts w:hint="eastAsia" w:ascii="仿宋" w:hAnsi="仿宋" w:eastAsia="仿宋" w:cs="仿宋"/>
          <w:color w:val="auto"/>
          <w:kern w:val="0"/>
          <w:sz w:val="30"/>
          <w:szCs w:val="30"/>
        </w:rPr>
        <w:t>合一般核心期刊篇数</w:t>
      </w:r>
      <w:r>
        <w:rPr>
          <w:rFonts w:hint="eastAsia" w:ascii="仿宋" w:hAnsi="仿宋" w:eastAsia="仿宋" w:cs="仿宋"/>
          <w:color w:val="auto"/>
          <w:kern w:val="0"/>
          <w:sz w:val="30"/>
          <w:szCs w:val="30"/>
          <w:lang w:eastAsia="zh-CN"/>
        </w:rPr>
        <w:t>。折合核心仅限当年年终科研考核使用。</w:t>
      </w:r>
    </w:p>
    <w:tbl>
      <w:tblPr>
        <w:tblStyle w:val="10"/>
        <w:tblW w:w="7260" w:type="dxa"/>
        <w:tblInd w:w="64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20"/>
        <w:gridCol w:w="1620"/>
        <w:gridCol w:w="2625"/>
        <w:gridCol w:w="16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bCs/>
                <w:color w:val="auto"/>
                <w:kern w:val="0"/>
                <w:sz w:val="24"/>
                <w:szCs w:val="24"/>
              </w:rPr>
            </w:pPr>
            <w:r>
              <w:rPr>
                <w:rFonts w:hint="eastAsia" w:ascii="仿宋" w:hAnsi="仿宋" w:eastAsia="仿宋" w:cs="仿宋"/>
                <w:b/>
                <w:bCs/>
                <w:i w:val="0"/>
                <w:color w:val="auto"/>
                <w:kern w:val="0"/>
                <w:sz w:val="24"/>
                <w:szCs w:val="24"/>
                <w:u w:val="none"/>
                <w:lang w:val="en-US" w:eastAsia="zh-CN" w:bidi="ar"/>
              </w:rPr>
              <w:t>成果</w:t>
            </w:r>
          </w:p>
        </w:tc>
        <w:tc>
          <w:tcPr>
            <w:tcW w:w="4245" w:type="dxa"/>
            <w:gridSpan w:val="2"/>
            <w:tcBorders>
              <w:tl2br w:val="nil"/>
              <w:tr2bl w:val="nil"/>
            </w:tcBorders>
            <w:vAlign w:val="top"/>
          </w:tcPr>
          <w:p>
            <w:pPr>
              <w:keepNext w:val="0"/>
              <w:keepLines w:val="0"/>
              <w:widowControl/>
              <w:suppressLineNumbers w:val="0"/>
              <w:jc w:val="center"/>
              <w:textAlignment w:val="top"/>
              <w:rPr>
                <w:rFonts w:hint="eastAsia" w:ascii="仿宋" w:hAnsi="仿宋" w:eastAsia="仿宋" w:cs="仿宋"/>
                <w:b/>
                <w:bCs/>
                <w:color w:val="auto"/>
                <w:kern w:val="0"/>
                <w:sz w:val="24"/>
                <w:szCs w:val="24"/>
                <w:lang w:val="en-US" w:eastAsia="zh-CN"/>
              </w:rPr>
            </w:pPr>
            <w:r>
              <w:rPr>
                <w:rFonts w:hint="eastAsia" w:ascii="仿宋" w:hAnsi="仿宋" w:eastAsia="仿宋" w:cs="仿宋"/>
                <w:b/>
                <w:bCs/>
                <w:i w:val="0"/>
                <w:color w:val="auto"/>
                <w:kern w:val="0"/>
                <w:sz w:val="24"/>
                <w:szCs w:val="24"/>
                <w:u w:val="none"/>
                <w:lang w:val="en-US" w:eastAsia="zh-CN" w:bidi="ar"/>
              </w:rPr>
              <w:t>类别</w:t>
            </w:r>
          </w:p>
        </w:tc>
        <w:tc>
          <w:tcPr>
            <w:tcW w:w="1695"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bCs/>
                <w:color w:val="auto"/>
                <w:kern w:val="0"/>
                <w:sz w:val="24"/>
                <w:szCs w:val="24"/>
              </w:rPr>
            </w:pPr>
            <w:r>
              <w:rPr>
                <w:rFonts w:hint="eastAsia" w:ascii="仿宋" w:hAnsi="仿宋" w:eastAsia="仿宋" w:cs="仿宋"/>
                <w:b/>
                <w:bCs/>
                <w:i w:val="0"/>
                <w:color w:val="auto"/>
                <w:kern w:val="0"/>
                <w:sz w:val="24"/>
                <w:szCs w:val="24"/>
                <w:u w:val="none"/>
                <w:lang w:val="en-US" w:eastAsia="zh-CN" w:bidi="ar"/>
              </w:rPr>
              <w:t>折合数（篇）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restart"/>
            <w:tcBorders>
              <w:tl2br w:val="nil"/>
              <w:tr2bl w:val="nil"/>
            </w:tcBorders>
            <w:vAlign w:val="center"/>
          </w:tcPr>
          <w:p>
            <w:pPr>
              <w:widowControl/>
              <w:jc w:val="center"/>
              <w:rPr>
                <w:rFonts w:hint="eastAsia" w:ascii="仿宋" w:hAnsi="仿宋" w:eastAsia="仿宋" w:cs="仿宋"/>
                <w:b w:val="0"/>
                <w:bCs/>
                <w:color w:val="auto"/>
                <w:kern w:val="0"/>
                <w:sz w:val="24"/>
                <w:szCs w:val="24"/>
                <w:vertAlign w:val="baseline"/>
                <w:lang w:val="en-US" w:eastAsia="zh-CN"/>
              </w:rPr>
            </w:pPr>
            <w:r>
              <w:rPr>
                <w:rFonts w:hint="eastAsia" w:ascii="仿宋" w:hAnsi="仿宋" w:eastAsia="仿宋" w:cs="仿宋"/>
                <w:b w:val="0"/>
                <w:bCs/>
                <w:color w:val="auto"/>
                <w:kern w:val="0"/>
                <w:sz w:val="24"/>
                <w:szCs w:val="24"/>
              </w:rPr>
              <w:t>决策咨询报告</w:t>
            </w:r>
          </w:p>
        </w:tc>
        <w:tc>
          <w:tcPr>
            <w:tcW w:w="4245" w:type="dxa"/>
            <w:gridSpan w:val="2"/>
            <w:tcBorders>
              <w:tl2br w:val="nil"/>
              <w:tr2bl w:val="nil"/>
            </w:tcBorders>
            <w:vAlign w:val="center"/>
          </w:tcPr>
          <w:p>
            <w:pPr>
              <w:widowControl/>
              <w:jc w:val="center"/>
              <w:rPr>
                <w:rFonts w:hint="eastAsia" w:ascii="仿宋" w:hAnsi="仿宋" w:eastAsia="仿宋" w:cs="仿宋"/>
                <w:b w:val="0"/>
                <w:bCs/>
                <w:color w:val="auto"/>
                <w:spacing w:val="-12"/>
                <w:kern w:val="0"/>
                <w:sz w:val="24"/>
                <w:szCs w:val="24"/>
                <w:lang w:val="en-US" w:eastAsia="zh-CN"/>
              </w:rPr>
            </w:pPr>
            <w:r>
              <w:rPr>
                <w:rFonts w:hint="eastAsia" w:ascii="仿宋" w:hAnsi="仿宋" w:eastAsia="仿宋" w:cs="仿宋"/>
                <w:b w:val="0"/>
                <w:bCs/>
                <w:color w:val="auto"/>
                <w:kern w:val="0"/>
                <w:sz w:val="24"/>
                <w:szCs w:val="24"/>
              </w:rPr>
              <w:t>国家级领导人批示</w:t>
            </w:r>
            <w:r>
              <w:rPr>
                <w:rFonts w:hint="eastAsia" w:ascii="仿宋" w:hAnsi="仿宋" w:eastAsia="仿宋" w:cs="仿宋"/>
                <w:b w:val="0"/>
                <w:bCs/>
                <w:color w:val="auto"/>
                <w:kern w:val="0"/>
                <w:sz w:val="24"/>
                <w:szCs w:val="24"/>
                <w:lang w:val="en-US" w:eastAsia="zh-CN"/>
              </w:rPr>
              <w:t>2篇</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continue"/>
            <w:tcBorders>
              <w:tl2br w:val="nil"/>
              <w:tr2bl w:val="nil"/>
            </w:tcBorders>
            <w:vAlign w:val="top"/>
          </w:tcPr>
          <w:p>
            <w:pPr>
              <w:widowControl/>
              <w:jc w:val="left"/>
              <w:rPr>
                <w:rFonts w:hint="eastAsia" w:ascii="仿宋" w:hAnsi="仿宋" w:eastAsia="仿宋" w:cs="仿宋"/>
                <w:b w:val="0"/>
                <w:bCs/>
                <w:color w:val="auto"/>
                <w:kern w:val="0"/>
                <w:sz w:val="24"/>
                <w:szCs w:val="24"/>
              </w:rPr>
            </w:pPr>
          </w:p>
        </w:tc>
        <w:tc>
          <w:tcPr>
            <w:tcW w:w="4245" w:type="dxa"/>
            <w:gridSpan w:val="2"/>
            <w:tcBorders>
              <w:tl2br w:val="nil"/>
              <w:tr2bl w:val="nil"/>
            </w:tcBorders>
            <w:vAlign w:val="center"/>
          </w:tcPr>
          <w:p>
            <w:pPr>
              <w:widowControl/>
              <w:jc w:val="center"/>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rPr>
              <w:t>省部级领导人批示</w:t>
            </w:r>
            <w:r>
              <w:rPr>
                <w:rFonts w:hint="eastAsia" w:ascii="仿宋" w:hAnsi="仿宋" w:eastAsia="仿宋" w:cs="仿宋"/>
                <w:b w:val="0"/>
                <w:bCs/>
                <w:color w:val="auto"/>
                <w:kern w:val="0"/>
                <w:sz w:val="24"/>
                <w:szCs w:val="24"/>
                <w:lang w:val="en-US" w:eastAsia="zh-CN"/>
              </w:rPr>
              <w:t>4篇</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restart"/>
            <w:tcBorders>
              <w:tl2br w:val="nil"/>
              <w:tr2bl w:val="nil"/>
            </w:tcBorders>
            <w:vAlign w:val="top"/>
          </w:tcPr>
          <w:p>
            <w:pPr>
              <w:widowControl/>
              <w:jc w:val="left"/>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艺术、文体专业教师、科研人员的音乐、美术、雕塑、书法、篆刻、设计、纪录片等艺术、文体类作品参加</w:t>
            </w:r>
            <w:r>
              <w:rPr>
                <w:rFonts w:hint="eastAsia" w:ascii="仿宋" w:hAnsi="仿宋" w:eastAsia="仿宋" w:cs="仿宋"/>
                <w:b w:val="0"/>
                <w:bCs/>
                <w:color w:val="auto"/>
                <w:kern w:val="0"/>
                <w:sz w:val="24"/>
                <w:szCs w:val="24"/>
                <w:lang w:val="en-US" w:eastAsia="zh-CN"/>
              </w:rPr>
              <w:t>比赛</w:t>
            </w:r>
          </w:p>
        </w:tc>
        <w:tc>
          <w:tcPr>
            <w:tcW w:w="1620" w:type="dxa"/>
            <w:vMerge w:val="restart"/>
            <w:tcBorders>
              <w:tl2br w:val="nil"/>
              <w:tr2bl w:val="nil"/>
            </w:tcBorders>
            <w:vAlign w:val="center"/>
          </w:tcPr>
          <w:p>
            <w:pPr>
              <w:widowControl/>
              <w:jc w:val="center"/>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全国综合性大赛（大展）、全国性比赛（展览）</w:t>
            </w:r>
          </w:p>
        </w:tc>
        <w:tc>
          <w:tcPr>
            <w:tcW w:w="2625" w:type="dxa"/>
            <w:tcBorders>
              <w:tl2br w:val="nil"/>
              <w:tr2bl w:val="nil"/>
            </w:tcBorders>
            <w:vAlign w:val="center"/>
          </w:tcPr>
          <w:p>
            <w:pPr>
              <w:widowControl/>
              <w:jc w:val="both"/>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val="en-US" w:eastAsia="zh-CN"/>
              </w:rPr>
              <w:t>一等</w:t>
            </w:r>
            <w:r>
              <w:rPr>
                <w:rFonts w:hint="eastAsia" w:ascii="仿宋" w:hAnsi="仿宋" w:eastAsia="仿宋" w:cs="仿宋"/>
                <w:b w:val="0"/>
                <w:bCs/>
                <w:color w:val="auto"/>
                <w:kern w:val="0"/>
                <w:sz w:val="24"/>
                <w:szCs w:val="24"/>
              </w:rPr>
              <w:t>奖</w:t>
            </w:r>
            <w:r>
              <w:rPr>
                <w:rFonts w:hint="eastAsia" w:ascii="仿宋" w:hAnsi="仿宋" w:eastAsia="仿宋" w:cs="仿宋"/>
                <w:b w:val="0"/>
                <w:bCs/>
                <w:color w:val="auto"/>
                <w:kern w:val="0"/>
                <w:sz w:val="24"/>
                <w:szCs w:val="24"/>
                <w:lang w:eastAsia="zh-CN"/>
              </w:rPr>
              <w:t>（</w:t>
            </w:r>
            <w:r>
              <w:rPr>
                <w:rFonts w:hint="eastAsia" w:ascii="仿宋" w:hAnsi="仿宋" w:eastAsia="仿宋" w:cs="仿宋"/>
                <w:b w:val="0"/>
                <w:bCs/>
                <w:color w:val="auto"/>
                <w:kern w:val="0"/>
                <w:sz w:val="24"/>
                <w:szCs w:val="24"/>
                <w:lang w:val="en-US" w:eastAsia="zh-CN"/>
              </w:rPr>
              <w:t>金奖</w:t>
            </w:r>
            <w:r>
              <w:rPr>
                <w:rFonts w:hint="eastAsia" w:ascii="仿宋" w:hAnsi="仿宋" w:eastAsia="仿宋" w:cs="仿宋"/>
                <w:b w:val="0"/>
                <w:bCs/>
                <w:color w:val="auto"/>
                <w:kern w:val="0"/>
                <w:sz w:val="24"/>
                <w:szCs w:val="24"/>
                <w:lang w:eastAsia="zh-CN"/>
              </w:rPr>
              <w:t>）</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continue"/>
            <w:tcBorders>
              <w:tl2br w:val="nil"/>
              <w:tr2bl w:val="nil"/>
            </w:tcBorders>
            <w:vAlign w:val="top"/>
          </w:tcPr>
          <w:p>
            <w:pPr>
              <w:widowControl/>
              <w:jc w:val="both"/>
              <w:rPr>
                <w:rFonts w:hint="eastAsia" w:ascii="仿宋" w:hAnsi="仿宋" w:eastAsia="仿宋" w:cs="仿宋"/>
                <w:b w:val="0"/>
                <w:bCs/>
                <w:color w:val="auto"/>
                <w:sz w:val="24"/>
                <w:szCs w:val="24"/>
              </w:rPr>
            </w:pPr>
          </w:p>
        </w:tc>
        <w:tc>
          <w:tcPr>
            <w:tcW w:w="1620" w:type="dxa"/>
            <w:vMerge w:val="continue"/>
            <w:tcBorders>
              <w:tl2br w:val="nil"/>
              <w:tr2bl w:val="nil"/>
            </w:tcBorders>
            <w:vAlign w:val="center"/>
          </w:tcPr>
          <w:p>
            <w:pPr>
              <w:widowControl/>
              <w:jc w:val="both"/>
              <w:rPr>
                <w:rFonts w:hint="eastAsia" w:ascii="仿宋" w:hAnsi="仿宋" w:eastAsia="仿宋" w:cs="仿宋"/>
                <w:b w:val="0"/>
                <w:bCs/>
                <w:color w:val="auto"/>
                <w:sz w:val="24"/>
                <w:szCs w:val="24"/>
              </w:rPr>
            </w:pPr>
          </w:p>
        </w:tc>
        <w:tc>
          <w:tcPr>
            <w:tcW w:w="2625" w:type="dxa"/>
            <w:tcBorders>
              <w:tl2br w:val="nil"/>
              <w:tr2bl w:val="nil"/>
            </w:tcBorders>
            <w:vAlign w:val="center"/>
          </w:tcPr>
          <w:p>
            <w:pPr>
              <w:widowControl/>
              <w:jc w:val="both"/>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二等奖（银奖）</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continue"/>
            <w:tcBorders>
              <w:tl2br w:val="nil"/>
              <w:tr2bl w:val="nil"/>
            </w:tcBorders>
            <w:vAlign w:val="top"/>
          </w:tcPr>
          <w:p>
            <w:pPr>
              <w:widowControl/>
              <w:jc w:val="both"/>
              <w:rPr>
                <w:rFonts w:hint="eastAsia" w:ascii="仿宋" w:hAnsi="仿宋" w:eastAsia="仿宋" w:cs="仿宋"/>
                <w:b w:val="0"/>
                <w:bCs/>
                <w:color w:val="auto"/>
                <w:kern w:val="0"/>
                <w:sz w:val="24"/>
                <w:szCs w:val="24"/>
              </w:rPr>
            </w:pPr>
          </w:p>
        </w:tc>
        <w:tc>
          <w:tcPr>
            <w:tcW w:w="1620" w:type="dxa"/>
            <w:vMerge w:val="continue"/>
            <w:tcBorders>
              <w:tl2br w:val="nil"/>
              <w:tr2bl w:val="nil"/>
            </w:tcBorders>
            <w:vAlign w:val="center"/>
          </w:tcPr>
          <w:p>
            <w:pPr>
              <w:widowControl/>
              <w:jc w:val="both"/>
              <w:rPr>
                <w:rFonts w:hint="eastAsia" w:ascii="仿宋" w:hAnsi="仿宋" w:eastAsia="仿宋" w:cs="仿宋"/>
                <w:b w:val="0"/>
                <w:bCs/>
                <w:color w:val="auto"/>
                <w:kern w:val="0"/>
                <w:sz w:val="24"/>
                <w:szCs w:val="24"/>
              </w:rPr>
            </w:pPr>
          </w:p>
        </w:tc>
        <w:tc>
          <w:tcPr>
            <w:tcW w:w="2625" w:type="dxa"/>
            <w:tcBorders>
              <w:tl2br w:val="nil"/>
              <w:tr2bl w:val="nil"/>
            </w:tcBorders>
            <w:vAlign w:val="center"/>
          </w:tcPr>
          <w:p>
            <w:pPr>
              <w:widowControl/>
              <w:jc w:val="both"/>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三等奖（铜奖）</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continue"/>
            <w:tcBorders>
              <w:tl2br w:val="nil"/>
              <w:tr2bl w:val="nil"/>
            </w:tcBorders>
            <w:vAlign w:val="top"/>
          </w:tcPr>
          <w:p>
            <w:pPr>
              <w:widowControl/>
              <w:jc w:val="left"/>
              <w:rPr>
                <w:rFonts w:hint="eastAsia" w:ascii="仿宋" w:hAnsi="仿宋" w:eastAsia="仿宋" w:cs="仿宋"/>
                <w:b w:val="0"/>
                <w:bCs/>
                <w:color w:val="auto"/>
                <w:kern w:val="0"/>
                <w:sz w:val="24"/>
                <w:szCs w:val="24"/>
              </w:rPr>
            </w:pPr>
          </w:p>
        </w:tc>
        <w:tc>
          <w:tcPr>
            <w:tcW w:w="1620" w:type="dxa"/>
            <w:vMerge w:val="restart"/>
            <w:tcBorders>
              <w:tl2br w:val="nil"/>
              <w:tr2bl w:val="nil"/>
            </w:tcBorders>
            <w:vAlign w:val="center"/>
          </w:tcPr>
          <w:p>
            <w:pPr>
              <w:widowControl/>
              <w:jc w:val="center"/>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省部级综合性大赛（大展）、省（市）部级比赛（展览）</w:t>
            </w:r>
          </w:p>
        </w:tc>
        <w:tc>
          <w:tcPr>
            <w:tcW w:w="2625" w:type="dxa"/>
            <w:tcBorders>
              <w:tl2br w:val="nil"/>
              <w:tr2bl w:val="nil"/>
            </w:tcBorders>
            <w:vAlign w:val="center"/>
          </w:tcPr>
          <w:p>
            <w:pPr>
              <w:widowControl/>
              <w:jc w:val="both"/>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一等</w:t>
            </w:r>
            <w:r>
              <w:rPr>
                <w:rFonts w:hint="eastAsia" w:ascii="仿宋" w:hAnsi="仿宋" w:eastAsia="仿宋" w:cs="仿宋"/>
                <w:b w:val="0"/>
                <w:bCs/>
                <w:color w:val="auto"/>
                <w:kern w:val="0"/>
                <w:sz w:val="24"/>
                <w:szCs w:val="24"/>
              </w:rPr>
              <w:t>奖</w:t>
            </w:r>
            <w:r>
              <w:rPr>
                <w:rFonts w:hint="eastAsia" w:ascii="仿宋" w:hAnsi="仿宋" w:eastAsia="仿宋" w:cs="仿宋"/>
                <w:b w:val="0"/>
                <w:bCs/>
                <w:color w:val="auto"/>
                <w:kern w:val="0"/>
                <w:sz w:val="24"/>
                <w:szCs w:val="24"/>
                <w:lang w:eastAsia="zh-CN"/>
              </w:rPr>
              <w:t>（</w:t>
            </w:r>
            <w:r>
              <w:rPr>
                <w:rFonts w:hint="eastAsia" w:ascii="仿宋" w:hAnsi="仿宋" w:eastAsia="仿宋" w:cs="仿宋"/>
                <w:b w:val="0"/>
                <w:bCs/>
                <w:color w:val="auto"/>
                <w:kern w:val="0"/>
                <w:sz w:val="24"/>
                <w:szCs w:val="24"/>
                <w:lang w:val="en-US" w:eastAsia="zh-CN"/>
              </w:rPr>
              <w:t>金奖</w:t>
            </w:r>
            <w:r>
              <w:rPr>
                <w:rFonts w:hint="eastAsia" w:ascii="仿宋" w:hAnsi="仿宋" w:eastAsia="仿宋" w:cs="仿宋"/>
                <w:b w:val="0"/>
                <w:bCs/>
                <w:color w:val="auto"/>
                <w:kern w:val="0"/>
                <w:sz w:val="24"/>
                <w:szCs w:val="24"/>
                <w:lang w:eastAsia="zh-CN"/>
              </w:rPr>
              <w:t>）</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continue"/>
            <w:tcBorders>
              <w:tl2br w:val="nil"/>
              <w:tr2bl w:val="nil"/>
            </w:tcBorders>
            <w:vAlign w:val="top"/>
          </w:tcPr>
          <w:p>
            <w:pPr>
              <w:widowControl/>
              <w:jc w:val="left"/>
              <w:rPr>
                <w:rFonts w:hint="eastAsia" w:ascii="仿宋" w:hAnsi="仿宋" w:eastAsia="仿宋" w:cs="仿宋"/>
                <w:b w:val="0"/>
                <w:bCs/>
                <w:color w:val="auto"/>
                <w:kern w:val="0"/>
                <w:sz w:val="24"/>
                <w:szCs w:val="24"/>
              </w:rPr>
            </w:pPr>
          </w:p>
        </w:tc>
        <w:tc>
          <w:tcPr>
            <w:tcW w:w="1620" w:type="dxa"/>
            <w:vMerge w:val="continue"/>
            <w:tcBorders>
              <w:tl2br w:val="nil"/>
              <w:tr2bl w:val="nil"/>
            </w:tcBorders>
            <w:vAlign w:val="center"/>
          </w:tcPr>
          <w:p>
            <w:pPr>
              <w:widowControl/>
              <w:jc w:val="center"/>
              <w:rPr>
                <w:rFonts w:hint="eastAsia" w:ascii="仿宋" w:hAnsi="仿宋" w:eastAsia="仿宋" w:cs="仿宋"/>
                <w:b w:val="0"/>
                <w:bCs/>
                <w:color w:val="auto"/>
                <w:kern w:val="0"/>
                <w:sz w:val="24"/>
                <w:szCs w:val="24"/>
              </w:rPr>
            </w:pPr>
          </w:p>
        </w:tc>
        <w:tc>
          <w:tcPr>
            <w:tcW w:w="2625" w:type="dxa"/>
            <w:tcBorders>
              <w:tl2br w:val="nil"/>
              <w:tr2bl w:val="nil"/>
            </w:tcBorders>
            <w:vAlign w:val="center"/>
          </w:tcPr>
          <w:p>
            <w:pPr>
              <w:widowControl/>
              <w:jc w:val="both"/>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二等奖（银奖）</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restart"/>
            <w:tcBorders>
              <w:tl2br w:val="nil"/>
              <w:tr2bl w:val="nil"/>
            </w:tcBorders>
            <w:vAlign w:val="center"/>
          </w:tcPr>
          <w:p>
            <w:pPr>
              <w:widowControl/>
              <w:jc w:val="center"/>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val="en-US" w:eastAsia="zh-CN"/>
              </w:rPr>
              <w:t>其他</w:t>
            </w:r>
          </w:p>
        </w:tc>
        <w:tc>
          <w:tcPr>
            <w:tcW w:w="4245" w:type="dxa"/>
            <w:gridSpan w:val="2"/>
            <w:tcBorders>
              <w:tl2br w:val="nil"/>
              <w:tr2bl w:val="nil"/>
            </w:tcBorders>
            <w:vAlign w:val="center"/>
          </w:tcPr>
          <w:p>
            <w:pPr>
              <w:widowControl/>
              <w:jc w:val="left"/>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rPr>
              <w:t>带队并指导学生参加国际学术、教学、体育竞赛取得名次，或者带队并指导学生参加全国学术、体育竞赛取得前三名或二等奖以上成绩的教师、科研人员</w:t>
            </w:r>
            <w:r>
              <w:rPr>
                <w:rFonts w:hint="eastAsia" w:ascii="仿宋" w:hAnsi="仿宋" w:eastAsia="仿宋" w:cs="仿宋"/>
                <w:b w:val="0"/>
                <w:bCs/>
                <w:color w:val="auto"/>
                <w:kern w:val="0"/>
                <w:sz w:val="24"/>
                <w:szCs w:val="24"/>
                <w:lang w:eastAsia="zh-CN"/>
              </w:rPr>
              <w:t>。</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continue"/>
            <w:tcBorders>
              <w:tl2br w:val="nil"/>
              <w:tr2bl w:val="nil"/>
            </w:tcBorders>
            <w:vAlign w:val="top"/>
          </w:tcPr>
          <w:p>
            <w:pPr>
              <w:widowControl/>
              <w:jc w:val="left"/>
              <w:rPr>
                <w:rFonts w:hint="eastAsia" w:ascii="仿宋" w:hAnsi="仿宋" w:eastAsia="仿宋" w:cs="仿宋"/>
                <w:b w:val="0"/>
                <w:bCs/>
                <w:color w:val="auto"/>
                <w:kern w:val="0"/>
                <w:sz w:val="24"/>
                <w:szCs w:val="24"/>
              </w:rPr>
            </w:pPr>
          </w:p>
        </w:tc>
        <w:tc>
          <w:tcPr>
            <w:tcW w:w="4245" w:type="dxa"/>
            <w:gridSpan w:val="2"/>
            <w:tcBorders>
              <w:tl2br w:val="nil"/>
              <w:tr2bl w:val="nil"/>
            </w:tcBorders>
            <w:vAlign w:val="center"/>
          </w:tcPr>
          <w:p>
            <w:pPr>
              <w:widowControl/>
              <w:jc w:val="left"/>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rPr>
              <w:t>纪录片、新闻片、电视短剧、电影在中央电视台、中央人民广播电台完整播放、播放时间在10分钟以上</w:t>
            </w:r>
            <w:r>
              <w:rPr>
                <w:rFonts w:hint="eastAsia" w:ascii="仿宋" w:hAnsi="仿宋" w:eastAsia="仿宋" w:cs="仿宋"/>
                <w:b w:val="0"/>
                <w:bCs/>
                <w:color w:val="auto"/>
                <w:kern w:val="0"/>
                <w:sz w:val="24"/>
                <w:szCs w:val="24"/>
                <w:lang w:eastAsia="zh-CN"/>
              </w:rPr>
              <w:t>。</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1</w:t>
            </w:r>
          </w:p>
        </w:tc>
      </w:tr>
    </w:tbl>
    <w:p>
      <w:pPr>
        <w:widowControl/>
        <w:jc w:val="both"/>
        <w:rPr>
          <w:rFonts w:hint="eastAsia" w:ascii="仿宋" w:hAnsi="仿宋" w:eastAsia="仿宋" w:cs="仿宋"/>
          <w:color w:val="auto"/>
          <w:sz w:val="24"/>
          <w:szCs w:val="24"/>
          <w:lang w:val="en-US" w:eastAsia="zh-CN"/>
        </w:rPr>
      </w:pPr>
    </w:p>
    <w:p>
      <w:pPr>
        <w:widowControl/>
        <w:jc w:val="left"/>
        <w:rPr>
          <w:rFonts w:hint="eastAsia" w:ascii="黑体" w:hAnsi="黑体" w:eastAsia="黑体" w:cs="黑体"/>
          <w:b/>
          <w:bCs/>
          <w:color w:val="auto"/>
          <w:kern w:val="0"/>
          <w:sz w:val="28"/>
          <w:szCs w:val="28"/>
          <w:lang w:val="en-US" w:eastAsia="zh-CN"/>
        </w:rPr>
      </w:pPr>
      <w:r>
        <w:rPr>
          <w:rFonts w:hint="eastAsia" w:ascii="黑体" w:hAnsi="黑体" w:eastAsia="黑体" w:cs="黑体"/>
          <w:b/>
          <w:bCs/>
          <w:color w:val="auto"/>
          <w:kern w:val="0"/>
          <w:sz w:val="28"/>
          <w:szCs w:val="28"/>
          <w:lang w:val="en-US" w:eastAsia="zh-CN"/>
        </w:rPr>
        <w:t>注：</w:t>
      </w:r>
    </w:p>
    <w:p>
      <w:pPr>
        <w:widowControl/>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1.国家级领导人是指国务委员、政治局委员。省部级领导人是指省部级正副职领导。</w:t>
      </w:r>
    </w:p>
    <w:p>
      <w:pPr>
        <w:widowControl/>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2.艺术、文体专业教师、科研人员的音乐、美术、雕塑、书法、篆刻、设计、纪录片等艺术、文体类作品参加比赛的，如果同一作品多次参加比赛的，只能认定一次。</w:t>
      </w:r>
    </w:p>
    <w:p>
      <w:pPr>
        <w:widowControl/>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学术竞赛范围由科研处会同有关部门共同认定发布。教师、科研人员向科研处提出认定申请，并提交证明材料。每次竞赛成绩仅能作为一名带队教师、科研人员申请认定科研成果的依据。教师、科研人员每年就此类科研成果只能申请认定一次。</w:t>
      </w:r>
    </w:p>
    <w:p>
      <w:pPr>
        <w:widowControl/>
        <w:ind w:firstLine="600" w:firstLineChars="20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（六）教学成果奖、课程建设项目、优秀教材奖、教学名师奖折算一般核心期刊篇数，详见下表： </w:t>
      </w:r>
    </w:p>
    <w:tbl>
      <w:tblPr>
        <w:tblStyle w:val="10"/>
        <w:tblW w:w="7545"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975"/>
        <w:gridCol w:w="2550"/>
        <w:gridCol w:w="11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4665" w:type="dxa"/>
            <w:gridSpan w:val="3"/>
            <w:shd w:val="clear" w:color="auto" w:fill="auto"/>
            <w:vAlign w:val="center"/>
          </w:tcPr>
          <w:p>
            <w:pPr>
              <w:widowControl/>
              <w:jc w:val="center"/>
              <w:rPr>
                <w:rFonts w:hint="eastAsia" w:ascii="黑体" w:hAnsi="黑体" w:eastAsia="黑体" w:cs="黑体"/>
                <w:color w:val="auto"/>
                <w:sz w:val="24"/>
                <w:szCs w:val="24"/>
                <w:vertAlign w:val="baseline"/>
                <w:lang w:val="en-US" w:eastAsia="zh-CN"/>
              </w:rPr>
            </w:pPr>
            <w:r>
              <w:rPr>
                <w:rStyle w:val="6"/>
                <w:rFonts w:hint="eastAsia" w:ascii="黑体" w:hAnsi="黑体" w:eastAsia="黑体" w:cs="黑体"/>
                <w:color w:val="auto"/>
                <w:sz w:val="24"/>
                <w:szCs w:val="24"/>
              </w:rPr>
              <w:t>教学成果奖（项：篇）</w:t>
            </w:r>
          </w:p>
        </w:tc>
        <w:tc>
          <w:tcPr>
            <w:tcW w:w="2880" w:type="dxa"/>
            <w:gridSpan w:val="2"/>
            <w:vAlign w:val="center"/>
          </w:tcPr>
          <w:p>
            <w:pPr>
              <w:widowControl/>
              <w:jc w:val="center"/>
              <w:rPr>
                <w:rFonts w:hint="eastAsia" w:ascii="黑体" w:hAnsi="黑体" w:eastAsia="黑体" w:cs="黑体"/>
                <w:color w:val="auto"/>
                <w:sz w:val="24"/>
                <w:szCs w:val="24"/>
                <w:vertAlign w:val="baseline"/>
                <w:lang w:val="en-US" w:eastAsia="zh-CN"/>
              </w:rPr>
            </w:pPr>
            <w:r>
              <w:rPr>
                <w:rStyle w:val="6"/>
                <w:rFonts w:hint="eastAsia" w:ascii="黑体" w:hAnsi="黑体" w:eastAsia="黑体" w:cs="黑体"/>
                <w:color w:val="auto"/>
                <w:sz w:val="24"/>
                <w:szCs w:val="24"/>
              </w:rPr>
              <w:t>课程建设项目（项：篇）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40" w:type="dxa"/>
            <w:vMerge w:val="restart"/>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国家级</w:t>
            </w:r>
          </w:p>
        </w:tc>
        <w:tc>
          <w:tcPr>
            <w:tcW w:w="975" w:type="dxa"/>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一等奖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排名前三位依次分别折算8、7、6篇</w:t>
            </w:r>
          </w:p>
        </w:tc>
        <w:tc>
          <w:tcPr>
            <w:tcW w:w="1155"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国家级</w:t>
            </w:r>
          </w:p>
        </w:tc>
        <w:tc>
          <w:tcPr>
            <w:tcW w:w="1725"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精品课程：4篇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140" w:type="dxa"/>
            <w:vMerge w:val="continue"/>
            <w:shd w:val="clear" w:color="auto" w:fill="auto"/>
            <w:vAlign w:val="center"/>
          </w:tcPr>
          <w:p>
            <w:pPr>
              <w:jc w:val="center"/>
              <w:rPr>
                <w:rFonts w:hint="eastAsia" w:ascii="仿宋" w:hAnsi="仿宋" w:eastAsia="仿宋" w:cs="仿宋"/>
                <w:color w:val="auto"/>
                <w:sz w:val="24"/>
                <w:szCs w:val="24"/>
                <w:vertAlign w:val="baseline"/>
                <w:lang w:val="en-US" w:eastAsia="zh-CN"/>
              </w:rPr>
            </w:pPr>
          </w:p>
        </w:tc>
        <w:tc>
          <w:tcPr>
            <w:tcW w:w="975" w:type="dxa"/>
            <w:vMerge w:val="restart"/>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二等奖</w:t>
            </w:r>
          </w:p>
        </w:tc>
        <w:tc>
          <w:tcPr>
            <w:tcW w:w="2550"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排名前三位依次分别折算7、6、5篇</w:t>
            </w:r>
          </w:p>
        </w:tc>
        <w:tc>
          <w:tcPr>
            <w:tcW w:w="1155" w:type="dxa"/>
            <w:vMerge w:val="continue"/>
            <w:shd w:val="clear" w:color="auto" w:fill="auto"/>
            <w:vAlign w:val="center"/>
          </w:tcPr>
          <w:p>
            <w:pPr>
              <w:spacing w:line="240" w:lineRule="auto"/>
              <w:jc w:val="center"/>
              <w:rPr>
                <w:rFonts w:hint="eastAsia" w:ascii="仿宋" w:hAnsi="仿宋" w:eastAsia="仿宋" w:cs="仿宋"/>
                <w:color w:val="auto"/>
                <w:sz w:val="24"/>
                <w:szCs w:val="24"/>
                <w:vertAlign w:val="baseline"/>
                <w:lang w:val="en-US" w:eastAsia="zh-CN"/>
              </w:rPr>
            </w:pPr>
          </w:p>
        </w:tc>
        <w:tc>
          <w:tcPr>
            <w:tcW w:w="1725"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40" w:type="dxa"/>
            <w:vMerge w:val="continue"/>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rPr>
            </w:pPr>
          </w:p>
        </w:tc>
        <w:tc>
          <w:tcPr>
            <w:tcW w:w="975" w:type="dxa"/>
            <w:vMerge w:val="continue"/>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rPr>
            </w:pPr>
          </w:p>
        </w:tc>
        <w:tc>
          <w:tcPr>
            <w:tcW w:w="2550"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rPr>
            </w:pPr>
          </w:p>
        </w:tc>
        <w:tc>
          <w:tcPr>
            <w:tcW w:w="1155"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rPr>
            </w:pPr>
          </w:p>
        </w:tc>
        <w:tc>
          <w:tcPr>
            <w:tcW w:w="1725" w:type="dxa"/>
            <w:vMerge w:val="restart"/>
            <w:shd w:val="clear" w:color="auto" w:fill="auto"/>
            <w:vAlign w:val="center"/>
          </w:tcPr>
          <w:p>
            <w:pPr>
              <w:widowControl/>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双语教学示范课程：4篇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40" w:type="dxa"/>
            <w:vMerge w:val="continue"/>
            <w:shd w:val="clear" w:color="auto" w:fill="auto"/>
            <w:vAlign w:val="center"/>
          </w:tcPr>
          <w:p>
            <w:pPr>
              <w:jc w:val="center"/>
              <w:rPr>
                <w:rFonts w:hint="eastAsia" w:ascii="仿宋" w:hAnsi="仿宋" w:eastAsia="仿宋" w:cs="仿宋"/>
                <w:color w:val="auto"/>
                <w:sz w:val="24"/>
                <w:szCs w:val="24"/>
                <w:vertAlign w:val="baseline"/>
                <w:lang w:val="en-US" w:eastAsia="zh-CN"/>
              </w:rPr>
            </w:pPr>
          </w:p>
        </w:tc>
        <w:tc>
          <w:tcPr>
            <w:tcW w:w="975" w:type="dxa"/>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三等奖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排名前三位依次分别折算6、5、4篇</w:t>
            </w:r>
          </w:p>
        </w:tc>
        <w:tc>
          <w:tcPr>
            <w:tcW w:w="1155" w:type="dxa"/>
            <w:vMerge w:val="continue"/>
            <w:vAlign w:val="center"/>
          </w:tcPr>
          <w:p>
            <w:pPr>
              <w:widowControl/>
              <w:spacing w:line="240" w:lineRule="auto"/>
              <w:jc w:val="center"/>
              <w:rPr>
                <w:rFonts w:hint="eastAsia" w:ascii="仿宋" w:hAnsi="仿宋" w:eastAsia="仿宋" w:cs="仿宋"/>
                <w:color w:val="auto"/>
                <w:sz w:val="24"/>
                <w:szCs w:val="24"/>
                <w:vertAlign w:val="baseline"/>
                <w:lang w:val="en-US" w:eastAsia="zh-CN"/>
              </w:rPr>
            </w:pPr>
          </w:p>
        </w:tc>
        <w:tc>
          <w:tcPr>
            <w:tcW w:w="1725" w:type="dxa"/>
            <w:vMerge w:val="continue"/>
            <w:vAlign w:val="center"/>
          </w:tcPr>
          <w:p>
            <w:pPr>
              <w:widowControl/>
              <w:spacing w:line="240" w:lineRule="auto"/>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40" w:type="dxa"/>
            <w:vMerge w:val="restart"/>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省部级</w:t>
            </w:r>
          </w:p>
        </w:tc>
        <w:tc>
          <w:tcPr>
            <w:tcW w:w="975" w:type="dxa"/>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一等奖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排名前三位依次分别折算5、4、3篇</w:t>
            </w:r>
          </w:p>
        </w:tc>
        <w:tc>
          <w:tcPr>
            <w:tcW w:w="1155"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省部级</w:t>
            </w:r>
          </w:p>
        </w:tc>
        <w:tc>
          <w:tcPr>
            <w:tcW w:w="1725"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精品课程：2篇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40" w:type="dxa"/>
            <w:vMerge w:val="continue"/>
            <w:shd w:val="clear" w:color="auto" w:fill="auto"/>
            <w:vAlign w:val="center"/>
          </w:tcPr>
          <w:p>
            <w:pPr>
              <w:jc w:val="center"/>
              <w:rPr>
                <w:rFonts w:hint="eastAsia" w:ascii="仿宋" w:hAnsi="仿宋" w:eastAsia="仿宋" w:cs="仿宋"/>
                <w:color w:val="auto"/>
                <w:sz w:val="24"/>
                <w:szCs w:val="24"/>
                <w:vertAlign w:val="baseline"/>
                <w:lang w:val="en-US" w:eastAsia="zh-CN"/>
              </w:rPr>
            </w:pPr>
          </w:p>
        </w:tc>
        <w:tc>
          <w:tcPr>
            <w:tcW w:w="975" w:type="dxa"/>
            <w:vMerge w:val="restart"/>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二等奖</w:t>
            </w:r>
          </w:p>
        </w:tc>
        <w:tc>
          <w:tcPr>
            <w:tcW w:w="2550"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排名前三位依次分别折算4、3、2篇</w:t>
            </w:r>
          </w:p>
        </w:tc>
        <w:tc>
          <w:tcPr>
            <w:tcW w:w="1155" w:type="dxa"/>
            <w:vMerge w:val="continue"/>
            <w:shd w:val="clear" w:color="auto" w:fill="auto"/>
            <w:vAlign w:val="center"/>
          </w:tcPr>
          <w:p>
            <w:pPr>
              <w:spacing w:line="240" w:lineRule="auto"/>
              <w:jc w:val="center"/>
              <w:rPr>
                <w:rFonts w:hint="eastAsia" w:ascii="仿宋" w:hAnsi="仿宋" w:eastAsia="仿宋" w:cs="仿宋"/>
                <w:color w:val="auto"/>
                <w:sz w:val="24"/>
                <w:szCs w:val="24"/>
                <w:vertAlign w:val="baseline"/>
                <w:lang w:val="en-US" w:eastAsia="zh-CN"/>
              </w:rPr>
            </w:pPr>
          </w:p>
        </w:tc>
        <w:tc>
          <w:tcPr>
            <w:tcW w:w="1725"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40" w:type="dxa"/>
            <w:vMerge w:val="continue"/>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rPr>
            </w:pPr>
          </w:p>
        </w:tc>
        <w:tc>
          <w:tcPr>
            <w:tcW w:w="975" w:type="dxa"/>
            <w:vMerge w:val="continue"/>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rPr>
            </w:pPr>
          </w:p>
        </w:tc>
        <w:tc>
          <w:tcPr>
            <w:tcW w:w="2550"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rPr>
            </w:pPr>
          </w:p>
        </w:tc>
        <w:tc>
          <w:tcPr>
            <w:tcW w:w="1155"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rPr>
            </w:pPr>
          </w:p>
        </w:tc>
        <w:tc>
          <w:tcPr>
            <w:tcW w:w="1725"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全英语教学示范课程:2篇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40" w:type="dxa"/>
            <w:vMerge w:val="continue"/>
            <w:shd w:val="clear" w:color="auto" w:fill="auto"/>
            <w:vAlign w:val="center"/>
          </w:tcPr>
          <w:p>
            <w:pPr>
              <w:rPr>
                <w:rFonts w:hint="eastAsia" w:ascii="仿宋" w:hAnsi="仿宋" w:eastAsia="仿宋" w:cs="仿宋"/>
                <w:color w:val="auto"/>
                <w:sz w:val="24"/>
                <w:szCs w:val="24"/>
                <w:vertAlign w:val="baseline"/>
                <w:lang w:val="en-US" w:eastAsia="zh-CN"/>
              </w:rPr>
            </w:pPr>
          </w:p>
        </w:tc>
        <w:tc>
          <w:tcPr>
            <w:tcW w:w="975" w:type="dxa"/>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三等奖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排名前三位依次分别折算3、2、1篇</w:t>
            </w:r>
          </w:p>
        </w:tc>
        <w:tc>
          <w:tcPr>
            <w:tcW w:w="1155" w:type="dxa"/>
            <w:vMerge w:val="continue"/>
          </w:tcPr>
          <w:p>
            <w:pPr>
              <w:widowControl/>
              <w:spacing w:line="240" w:lineRule="auto"/>
              <w:jc w:val="left"/>
              <w:rPr>
                <w:rFonts w:hint="eastAsia" w:ascii="仿宋" w:hAnsi="仿宋" w:eastAsia="仿宋" w:cs="仿宋"/>
                <w:color w:val="auto"/>
                <w:sz w:val="24"/>
                <w:szCs w:val="24"/>
                <w:vertAlign w:val="baseline"/>
                <w:lang w:val="en-US" w:eastAsia="zh-CN"/>
              </w:rPr>
            </w:pPr>
          </w:p>
        </w:tc>
        <w:tc>
          <w:tcPr>
            <w:tcW w:w="1725" w:type="dxa"/>
            <w:vMerge w:val="continue"/>
          </w:tcPr>
          <w:p>
            <w:pPr>
              <w:widowControl/>
              <w:spacing w:line="240" w:lineRule="auto"/>
              <w:jc w:val="left"/>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4665" w:type="dxa"/>
            <w:gridSpan w:val="3"/>
            <w:shd w:val="clear" w:color="auto" w:fill="auto"/>
            <w:vAlign w:val="center"/>
          </w:tcPr>
          <w:p>
            <w:pPr>
              <w:widowControl/>
              <w:jc w:val="center"/>
              <w:rPr>
                <w:rStyle w:val="6"/>
                <w:rFonts w:hint="eastAsia" w:ascii="黑体" w:hAnsi="黑体" w:eastAsia="黑体" w:cs="黑体"/>
                <w:color w:val="auto"/>
                <w:sz w:val="24"/>
                <w:szCs w:val="24"/>
              </w:rPr>
            </w:pPr>
            <w:r>
              <w:rPr>
                <w:rStyle w:val="6"/>
                <w:rFonts w:hint="eastAsia" w:ascii="黑体" w:hAnsi="黑体" w:eastAsia="黑体" w:cs="黑体"/>
                <w:color w:val="auto"/>
                <w:sz w:val="24"/>
                <w:szCs w:val="24"/>
              </w:rPr>
              <w:t>优秀教材奖（项：篇）</w:t>
            </w:r>
          </w:p>
        </w:tc>
        <w:tc>
          <w:tcPr>
            <w:tcW w:w="2880" w:type="dxa"/>
            <w:gridSpan w:val="2"/>
            <w:shd w:val="clear" w:color="auto" w:fill="auto"/>
            <w:vAlign w:val="center"/>
          </w:tcPr>
          <w:p>
            <w:pPr>
              <w:widowControl/>
              <w:jc w:val="center"/>
              <w:rPr>
                <w:rStyle w:val="6"/>
                <w:rFonts w:hint="eastAsia" w:ascii="黑体" w:hAnsi="黑体" w:eastAsia="黑体" w:cs="黑体"/>
                <w:color w:val="auto"/>
                <w:sz w:val="24"/>
                <w:szCs w:val="24"/>
              </w:rPr>
            </w:pPr>
            <w:r>
              <w:rPr>
                <w:rStyle w:val="6"/>
                <w:rFonts w:hint="eastAsia" w:ascii="黑体" w:hAnsi="黑体" w:eastAsia="黑体" w:cs="黑体"/>
                <w:color w:val="auto"/>
                <w:sz w:val="24"/>
                <w:szCs w:val="24"/>
              </w:rPr>
              <w:t>教学名师奖（项：篇）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40" w:type="dxa"/>
            <w:vMerge w:val="restart"/>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省部级</w:t>
            </w:r>
          </w:p>
        </w:tc>
        <w:tc>
          <w:tcPr>
            <w:tcW w:w="975" w:type="dxa"/>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一等奖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2篇</w:t>
            </w:r>
          </w:p>
        </w:tc>
        <w:tc>
          <w:tcPr>
            <w:tcW w:w="1155"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国家级</w:t>
            </w:r>
          </w:p>
        </w:tc>
        <w:tc>
          <w:tcPr>
            <w:tcW w:w="1725"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6篇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40" w:type="dxa"/>
            <w:vMerge w:val="continue"/>
            <w:shd w:val="clear" w:color="auto" w:fill="auto"/>
            <w:vAlign w:val="center"/>
          </w:tcPr>
          <w:p>
            <w:pPr>
              <w:jc w:val="center"/>
              <w:rPr>
                <w:rFonts w:hint="eastAsia" w:ascii="仿宋" w:hAnsi="仿宋" w:eastAsia="仿宋" w:cs="仿宋"/>
                <w:color w:val="auto"/>
                <w:sz w:val="24"/>
                <w:szCs w:val="24"/>
                <w:vertAlign w:val="baseline"/>
                <w:lang w:val="en-US" w:eastAsia="zh-CN"/>
              </w:rPr>
            </w:pPr>
          </w:p>
        </w:tc>
        <w:tc>
          <w:tcPr>
            <w:tcW w:w="975" w:type="dxa"/>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二等奖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1篇</w:t>
            </w:r>
          </w:p>
        </w:tc>
        <w:tc>
          <w:tcPr>
            <w:tcW w:w="1155"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省部级</w:t>
            </w:r>
          </w:p>
        </w:tc>
        <w:tc>
          <w:tcPr>
            <w:tcW w:w="1725"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4篇</w:t>
            </w:r>
          </w:p>
        </w:tc>
      </w:tr>
    </w:tbl>
    <w:p>
      <w:pPr>
        <w:widowControl/>
        <w:jc w:val="both"/>
        <w:rPr>
          <w:rFonts w:hint="eastAsia" w:ascii="仿宋" w:hAnsi="仿宋" w:eastAsia="仿宋" w:cs="仿宋"/>
          <w:b/>
          <w:color w:val="auto"/>
          <w:sz w:val="24"/>
          <w:szCs w:val="24"/>
          <w:lang w:eastAsia="zh-CN"/>
        </w:rPr>
      </w:pPr>
    </w:p>
    <w:p>
      <w:pPr>
        <w:widowControl/>
        <w:jc w:val="both"/>
        <w:rPr>
          <w:rFonts w:hint="eastAsia" w:ascii="仿宋" w:hAnsi="仿宋" w:eastAsia="仿宋" w:cs="仿宋"/>
          <w:b w:val="0"/>
          <w:bCs/>
          <w:color w:val="auto"/>
          <w:sz w:val="28"/>
          <w:szCs w:val="28"/>
          <w:lang w:val="en-US" w:eastAsia="zh-CN"/>
        </w:rPr>
      </w:pPr>
      <w:r>
        <w:rPr>
          <w:rFonts w:hint="eastAsia" w:ascii="黑体" w:hAnsi="黑体" w:eastAsia="黑体" w:cs="黑体"/>
          <w:b/>
          <w:bCs w:val="0"/>
          <w:color w:val="auto"/>
          <w:sz w:val="28"/>
          <w:szCs w:val="28"/>
          <w:lang w:val="en-US" w:eastAsia="zh-CN"/>
        </w:rPr>
        <w:t>注：</w:t>
      </w:r>
    </w:p>
    <w:p>
      <w:pPr>
        <w:widowControl/>
        <w:ind w:firstLine="560" w:firstLineChars="200"/>
        <w:jc w:val="both"/>
        <w:rPr>
          <w:rFonts w:hint="eastAsia" w:ascii="仿宋" w:hAnsi="仿宋" w:eastAsia="仿宋" w:cs="仿宋"/>
          <w:color w:val="auto"/>
          <w:kern w:val="0"/>
          <w:sz w:val="28"/>
          <w:szCs w:val="28"/>
        </w:rPr>
      </w:pPr>
      <w:r>
        <w:rPr>
          <w:rFonts w:hint="eastAsia" w:ascii="仿宋" w:hAnsi="仿宋" w:eastAsia="仿宋" w:cs="仿宋"/>
          <w:b w:val="0"/>
          <w:bCs/>
          <w:color w:val="auto"/>
          <w:sz w:val="28"/>
          <w:szCs w:val="28"/>
          <w:lang w:val="en-US" w:eastAsia="zh-CN"/>
        </w:rPr>
        <w:t>1.</w:t>
      </w:r>
      <w:r>
        <w:rPr>
          <w:rFonts w:hint="eastAsia" w:ascii="仿宋" w:hAnsi="仿宋" w:eastAsia="仿宋" w:cs="仿宋"/>
          <w:color w:val="auto"/>
          <w:kern w:val="0"/>
          <w:sz w:val="28"/>
          <w:szCs w:val="28"/>
        </w:rPr>
        <w:t>聘期内作为第一负责人主持的课程建设项目，国家级精品课程、双语教学示范课程立项时以2篇核心期刊统计；省部级精品课程、全英语教学示范课程立项时以1篇核心期刊统计；按时通过鉴定验收后，按照上表相应折合篇数扣除立项时统计篇数后统计；项目延期完成的，不予统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某一课程建设项目或教学成果获奖在聘期内获得更高级别立项或奖励，可按照较高级别项目或获奖折算一般核心期刊论文篇数办法追加补足，但不可重复折算。（六）论文经下列学术报刊转载的，按转载报刊就高计算得分，不重复计算原发刊物的得分。被《新华文摘》转载的，按照40分/千字计分；被《中国社会科学文摘》转摘的，按照30分/千字计分；被中国人民大学《报刊复印资料》转载的，按照20分/千字计分；被《高等学校文科学术文摘》、《报刊文摘》转摘的，按照15分/千字计分。</w:t>
      </w:r>
    </w:p>
    <w:p>
      <w:pPr>
        <w:widowControl/>
        <w:ind w:firstLine="384"/>
        <w:jc w:val="left"/>
        <w:rPr>
          <w:rFonts w:hint="eastAsia" w:ascii="仿宋" w:hAnsi="仿宋" w:eastAsia="仿宋" w:cs="仿宋"/>
          <w:b/>
          <w:color w:val="auto"/>
          <w:kern w:val="0"/>
          <w:sz w:val="28"/>
          <w:szCs w:val="28"/>
        </w:rPr>
      </w:pPr>
      <w:r>
        <w:rPr>
          <w:rFonts w:hint="eastAsia" w:ascii="仿宋" w:hAnsi="仿宋" w:eastAsia="仿宋" w:cs="仿宋"/>
          <w:color w:val="auto"/>
          <w:kern w:val="0"/>
          <w:sz w:val="28"/>
          <w:szCs w:val="28"/>
        </w:rPr>
        <w:t>跨年度转载的，次年补计原发与转载的差额分。</w:t>
      </w:r>
      <w:bookmarkStart w:id="0" w:name="_GoBack"/>
      <w:bookmarkEnd w:id="0"/>
    </w:p>
    <w:p>
      <w:pPr>
        <w:widowControl/>
        <w:ind w:firstLine="300" w:firstLineChars="100"/>
        <w:jc w:val="left"/>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w:t>
      </w:r>
      <w:r>
        <w:rPr>
          <w:rFonts w:hint="eastAsia" w:ascii="仿宋" w:hAnsi="仿宋" w:eastAsia="仿宋" w:cs="仿宋"/>
          <w:b w:val="0"/>
          <w:bCs w:val="0"/>
          <w:color w:val="auto"/>
          <w:kern w:val="0"/>
          <w:sz w:val="30"/>
          <w:szCs w:val="30"/>
          <w:lang w:val="en-US" w:eastAsia="zh-CN"/>
        </w:rPr>
        <w:t>七</w:t>
      </w:r>
      <w:r>
        <w:rPr>
          <w:rFonts w:hint="eastAsia" w:ascii="仿宋" w:hAnsi="仿宋" w:eastAsia="仿宋" w:cs="仿宋"/>
          <w:b w:val="0"/>
          <w:bCs w:val="0"/>
          <w:color w:val="auto"/>
          <w:kern w:val="0"/>
          <w:sz w:val="30"/>
          <w:szCs w:val="30"/>
        </w:rPr>
        <w:t>）论文经下列学术报刊转载的，按转载报刊就高计算得分，不重复计算原发刊物的得分。被《新华文摘》转载的，按照40分/千字计分；被《中国社会科学文摘》转摘的，按照30分/千字计分；被中国人民大学《报刊复印资料》转载的，按照20分/千字计分；被《高等学校文科学术文摘》、《报刊文摘》转摘的，按照15分/千字计分。</w:t>
      </w:r>
    </w:p>
    <w:p>
      <w:pPr>
        <w:widowControl/>
        <w:ind w:firstLine="300" w:firstLineChars="100"/>
        <w:jc w:val="left"/>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跨年度转载的，次年补计原发与转载的差额分。</w:t>
      </w:r>
    </w:p>
    <w:p>
      <w:pPr>
        <w:widowControl/>
        <w:ind w:firstLine="300" w:firstLineChars="100"/>
        <w:jc w:val="left"/>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w:t>
      </w:r>
      <w:r>
        <w:rPr>
          <w:rFonts w:hint="eastAsia" w:ascii="仿宋" w:hAnsi="仿宋" w:eastAsia="仿宋" w:cs="仿宋"/>
          <w:b w:val="0"/>
          <w:bCs w:val="0"/>
          <w:color w:val="auto"/>
          <w:kern w:val="0"/>
          <w:sz w:val="30"/>
          <w:szCs w:val="30"/>
          <w:lang w:val="en-US" w:eastAsia="zh-CN"/>
        </w:rPr>
        <w:t>八</w:t>
      </w:r>
      <w:r>
        <w:rPr>
          <w:rFonts w:hint="eastAsia" w:ascii="仿宋" w:hAnsi="仿宋" w:eastAsia="仿宋" w:cs="仿宋"/>
          <w:b w:val="0"/>
          <w:bCs w:val="0"/>
          <w:color w:val="auto"/>
          <w:kern w:val="0"/>
          <w:sz w:val="30"/>
          <w:szCs w:val="30"/>
        </w:rPr>
        <w:t>）本条（六）以外刊物、论文集转载的论文，不重复计算得分。</w:t>
      </w:r>
    </w:p>
    <w:p>
      <w:pPr>
        <w:widowControl/>
        <w:ind w:firstLine="300" w:firstLineChars="100"/>
        <w:jc w:val="left"/>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w:t>
      </w:r>
      <w:r>
        <w:rPr>
          <w:rFonts w:hint="eastAsia" w:ascii="仿宋" w:hAnsi="仿宋" w:eastAsia="仿宋" w:cs="仿宋"/>
          <w:b w:val="0"/>
          <w:bCs w:val="0"/>
          <w:color w:val="auto"/>
          <w:kern w:val="0"/>
          <w:sz w:val="30"/>
          <w:szCs w:val="30"/>
          <w:lang w:val="en-US" w:eastAsia="zh-CN"/>
        </w:rPr>
        <w:t>九</w:t>
      </w:r>
      <w:r>
        <w:rPr>
          <w:rFonts w:hint="eastAsia" w:ascii="仿宋" w:hAnsi="仿宋" w:eastAsia="仿宋" w:cs="仿宋"/>
          <w:b w:val="0"/>
          <w:bCs w:val="0"/>
          <w:color w:val="auto"/>
          <w:kern w:val="0"/>
          <w:sz w:val="30"/>
          <w:szCs w:val="30"/>
        </w:rPr>
        <w:t>）收入论文集的论文以该论文集的书号或者准印证作为计分的依据。</w:t>
      </w:r>
    </w:p>
    <w:p>
      <w:pPr>
        <w:widowControl/>
        <w:ind w:firstLine="300" w:firstLineChars="100"/>
        <w:jc w:val="left"/>
        <w:rPr>
          <w:rFonts w:hint="eastAsia" w:ascii="仿宋" w:hAnsi="仿宋" w:eastAsia="仿宋" w:cs="仿宋"/>
          <w:color w:val="auto"/>
          <w:sz w:val="30"/>
          <w:szCs w:val="30"/>
          <w:lang w:val="en-US" w:eastAsia="zh-CN"/>
        </w:rPr>
      </w:pPr>
      <w:r>
        <w:rPr>
          <w:rFonts w:hint="eastAsia" w:ascii="仿宋" w:hAnsi="仿宋" w:eastAsia="仿宋" w:cs="仿宋"/>
          <w:b w:val="0"/>
          <w:bCs w:val="0"/>
          <w:color w:val="auto"/>
          <w:kern w:val="0"/>
          <w:sz w:val="30"/>
          <w:szCs w:val="30"/>
        </w:rPr>
        <w:t>（</w:t>
      </w:r>
      <w:r>
        <w:rPr>
          <w:rFonts w:hint="eastAsia" w:ascii="仿宋" w:hAnsi="仿宋" w:eastAsia="仿宋" w:cs="仿宋"/>
          <w:b w:val="0"/>
          <w:bCs w:val="0"/>
          <w:color w:val="auto"/>
          <w:kern w:val="0"/>
          <w:sz w:val="30"/>
          <w:szCs w:val="30"/>
          <w:lang w:val="en-US" w:eastAsia="zh-CN"/>
        </w:rPr>
        <w:t>十</w:t>
      </w:r>
      <w:r>
        <w:rPr>
          <w:rFonts w:hint="eastAsia" w:ascii="仿宋" w:hAnsi="仿宋" w:eastAsia="仿宋" w:cs="仿宋"/>
          <w:b w:val="0"/>
          <w:bCs w:val="0"/>
          <w:color w:val="auto"/>
          <w:kern w:val="0"/>
          <w:sz w:val="30"/>
          <w:szCs w:val="30"/>
        </w:rPr>
        <w:t>）承接外单位人员为第一主编的教材、编著、译著等任务，或者参与外单位负责的课题，或者与外单位人员合著的成果已经正式出版，标注本校参与人姓名及撰稿量的，按照其撰稿量计分。出版物中明示撰稿人及撰稿数量的，以明示作为计分的根据；未</w:t>
      </w:r>
      <w:r>
        <w:rPr>
          <w:rFonts w:hint="eastAsia" w:ascii="仿宋" w:hAnsi="仿宋" w:eastAsia="仿宋" w:cs="仿宋"/>
          <w:color w:val="auto"/>
          <w:kern w:val="0"/>
          <w:sz w:val="30"/>
          <w:szCs w:val="30"/>
        </w:rPr>
        <w:t>明示的，按照出版社提供的书面证明计分。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lang w:eastAsia="zh-CN"/>
        </w:rPr>
        <w:t>第十五条 违规情况的处理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sz w:val="30"/>
          <w:szCs w:val="30"/>
          <w:lang w:val="en-US" w:eastAsia="zh-CN"/>
        </w:rPr>
      </w:pPr>
      <w:r>
        <w:rPr>
          <w:rFonts w:hint="eastAsia" w:ascii="仿宋" w:hAnsi="仿宋" w:eastAsia="仿宋" w:cs="仿宋"/>
          <w:color w:val="auto"/>
          <w:kern w:val="0"/>
          <w:sz w:val="30"/>
          <w:szCs w:val="30"/>
        </w:rPr>
        <w:t>在申报科研成果过程中存在弄虚作假等违规行为，或者违反学术规范的不端行为，一经发现，对行为人的申报成果不予认可；已经确认的，予以撤销。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lang w:eastAsia="zh-CN"/>
        </w:rPr>
        <w:t>第十六条 执行与解释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30"/>
          <w:szCs w:val="30"/>
        </w:rPr>
        <w:t>本办法自印发之日起执行，并由科研处负责解释。</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叶根友毛笔行书简体2012版">
    <w:altName w:val="宋体"/>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锐字云字库综艺体1.0">
    <w:altName w:val="宋体"/>
    <w:panose1 w:val="02010604000000000000"/>
    <w:charset w:val="86"/>
    <w:family w:val="auto"/>
    <w:pitch w:val="default"/>
    <w:sig w:usb0="00000000" w:usb1="00000000" w:usb2="00000000" w:usb3="00000000" w:csb0="00040001" w:csb1="00000000"/>
  </w:font>
  <w:font w:name="锐字云字库美黑体1.0">
    <w:altName w:val="黑体"/>
    <w:panose1 w:val="02010604000000000000"/>
    <w:charset w:val="86"/>
    <w:family w:val="auto"/>
    <w:pitch w:val="default"/>
    <w:sig w:usb0="00000000" w:usb1="00000000" w:usb2="00000000" w:usb3="00000000" w:csb0="00040001" w:csb1="00000000"/>
  </w:font>
  <w:font w:name="锐字云字库超粗黑体1.0">
    <w:altName w:val="黑体"/>
    <w:panose1 w:val="02010604000000000000"/>
    <w:charset w:val="86"/>
    <w:family w:val="auto"/>
    <w:pitch w:val="default"/>
    <w:sig w:usb0="00000000" w:usb1="00000000" w:usb2="00000000" w:usb3="00000000" w:csb0="00040001" w:csb1="00000000"/>
  </w:font>
  <w:font w:name="锐字云字库隶变体1.0">
    <w:altName w:val="宋体"/>
    <w:panose1 w:val="02010604000000000000"/>
    <w:charset w:val="86"/>
    <w:family w:val="auto"/>
    <w:pitch w:val="default"/>
    <w:sig w:usb0="00000000" w:usb1="00000000" w:usb2="00000000" w:usb3="00000000" w:csb0="00040001" w:csb1="00000000"/>
  </w:font>
  <w:font w:name="锐字云字库魏体1.0">
    <w:altName w:val="宋体"/>
    <w:panose1 w:val="02010604000000000000"/>
    <w:charset w:val="86"/>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锐字云字库姚体1.0">
    <w:altName w:val="宋体"/>
    <w:panose1 w:val="02010604000000000000"/>
    <w:charset w:val="86"/>
    <w:family w:val="auto"/>
    <w:pitch w:val="default"/>
    <w:sig w:usb0="00000000" w:usb1="00000000" w:usb2="00000000" w:usb3="00000000" w:csb0="00040001" w:csb1="00000000"/>
  </w:font>
  <w:font w:name="锐字云字库粗圆体1.0">
    <w:altName w:val="宋体"/>
    <w:panose1 w:val="02010604000000000000"/>
    <w:charset w:val="86"/>
    <w:family w:val="auto"/>
    <w:pitch w:val="default"/>
    <w:sig w:usb0="00000000" w:usb1="00000000" w:usb2="00000000" w:usb3="00000000" w:csb0="00040001"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字迹-邢体草书简体">
    <w:altName w:val="宋体"/>
    <w:panose1 w:val="03000502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307A7"/>
    <w:multiLevelType w:val="singleLevel"/>
    <w:tmpl w:val="5A5307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0781A"/>
    <w:rsid w:val="220E5EE0"/>
    <w:rsid w:val="3690781A"/>
    <w:rsid w:val="6E8B70D7"/>
    <w:rsid w:val="7A174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line="312" w:lineRule="auto"/>
    </w:pPr>
    <w:rPr>
      <w:rFonts w:hint="eastAsia" w:ascii="宋体" w:hAnsi="宋体" w:cs="宋体"/>
      <w:color w:val="000000"/>
      <w:sz w:val="18"/>
      <w:szCs w:val="18"/>
      <w:lang w:val="en-US" w:eastAsia="zh-CN" w:bidi="ar-SA"/>
    </w:rPr>
  </w:style>
  <w:style w:type="character" w:styleId="6">
    <w:name w:val="Strong"/>
    <w:basedOn w:val="5"/>
    <w:qFormat/>
    <w:uiPriority w:val="0"/>
    <w:rPr>
      <w:b/>
    </w:rPr>
  </w:style>
  <w:style w:type="character" w:styleId="7">
    <w:name w:val="FollowedHyperlink"/>
    <w:basedOn w:val="5"/>
    <w:qFormat/>
    <w:uiPriority w:val="0"/>
    <w:rPr>
      <w:rFonts w:ascii="Arial" w:hAnsi="Arial" w:cs="Arial"/>
      <w:color w:val="000000"/>
      <w:sz w:val="18"/>
      <w:szCs w:val="18"/>
      <w:u w:val="none"/>
    </w:rPr>
  </w:style>
  <w:style w:type="character" w:styleId="8">
    <w:name w:val="Hyperlink"/>
    <w:basedOn w:val="5"/>
    <w:uiPriority w:val="0"/>
    <w:rPr>
      <w:rFonts w:hint="default" w:ascii="Arial" w:hAnsi="Arial" w:cs="Arial"/>
      <w:color w:val="000000"/>
      <w:sz w:val="18"/>
      <w:szCs w:val="18"/>
      <w:u w:val="none"/>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2018-01-08T04:58:00Z</dcterms:created>
  <dc:creator>科研处</dc:creator>
  <cp:lastModifiedBy>Administrator</cp:lastModifiedBy>
  <cp:lastPrinted>2018-01-09T02:42:07Z</cp:lastPrinted>
  <dcterms:modified xsi:type="dcterms:W3CDTF">2018-01-09T03:11:17Z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