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附件2：</w:t>
      </w:r>
    </w:p>
    <w:p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val="en-US" w:eastAsia="zh-CN"/>
        </w:rPr>
        <w:t>十一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  <w:r>
        <w:rPr>
          <w:rFonts w:hint="eastAsia" w:ascii="黑体" w:hAnsi="宋体" w:eastAsia="黑体" w:cs="Times New Roman"/>
          <w:b/>
          <w:bCs/>
          <w:sz w:val="21"/>
          <w:szCs w:val="21"/>
        </w:rPr>
        <w:t>（</w:t>
      </w:r>
      <w:r>
        <w:rPr>
          <w:rFonts w:hint="eastAsia" w:ascii="黑体" w:hAnsi="宋体" w:eastAsia="黑体" w:cs="Times New Roman"/>
          <w:b/>
          <w:bCs/>
          <w:sz w:val="21"/>
          <w:szCs w:val="21"/>
          <w:lang w:val="en-US" w:eastAsia="zh-CN"/>
        </w:rPr>
        <w:t>2022</w:t>
      </w:r>
      <w:r>
        <w:rPr>
          <w:rFonts w:hint="eastAsia" w:ascii="黑体" w:hAnsi="宋体" w:eastAsia="黑体" w:cs="Times New Roman"/>
          <w:b/>
          <w:bCs/>
          <w:sz w:val="21"/>
          <w:szCs w:val="21"/>
        </w:rPr>
        <w:t>年）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  <w:bookmarkStart w:id="0" w:name="_GoBack"/>
      <w:bookmarkEnd w:id="0"/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（创业实践）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（研究目的、内容和成效等，要求300---500文字阐述）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2、项目来源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3、学科类别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（人文）、(社科)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4、对项目合作者要求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5、项目执行环节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6、项目特色与创新点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7、项目指导教师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（请填写姓名、职称、院系、联系电话和邮箱）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8、预期成果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（成果形式：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4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9、项目年限与时间安排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（1）项目年限：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1年立项时间：    年   月至    年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（2）项目时间安排：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（文献和资料查阅）：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（项目研究方案设计）：     年 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（开题报告）：    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（实验研究或社会调研）：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     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（数据统计、处理与分析）：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（论文发表或成果推广）：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迄止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10、项目经费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11、项目现有研究条件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GQ2YjkwNDY3YWZlNjk1NTZmOGI1M2M2OWJhOGQifQ=="/>
  </w:docVars>
  <w:rsids>
    <w:rsidRoot w:val="0BA976AA"/>
    <w:rsid w:val="0BA976AA"/>
    <w:rsid w:val="22C42469"/>
    <w:rsid w:val="493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782</Words>
  <Characters>798</Characters>
  <Lines>0</Lines>
  <Paragraphs>0</Paragraphs>
  <TotalTime>3</TotalTime>
  <ScaleCrop>false</ScaleCrop>
  <LinksUpToDate>false</LinksUpToDate>
  <CharactersWithSpaces>1452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Twilight lonesome</cp:lastModifiedBy>
  <dcterms:modified xsi:type="dcterms:W3CDTF">2022-06-19T05:32:34Z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7041995DC8914D6DB55DEE00974DDB5F</vt:lpwstr>
  </property>
</Properties>
</file>