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150"/>
        <w:jc w:val="center"/>
        <w:rPr>
          <w:rFonts w:cs="宋体" w:asciiTheme="minorEastAsia" w:hAnsiTheme="minorEastAsia"/>
          <w:b/>
          <w:bCs/>
          <w:color w:val="000000"/>
          <w:kern w:val="0"/>
          <w:sz w:val="32"/>
          <w:szCs w:val="32"/>
          <w:lang w:val="zh-CN"/>
        </w:rPr>
      </w:pPr>
      <w:r>
        <w:rPr>
          <w:rFonts w:hint="eastAsia" w:cs="宋体" w:asciiTheme="minorEastAsia" w:hAnsiTheme="minorEastAsia"/>
          <w:b/>
          <w:bCs/>
          <w:color w:val="000000"/>
          <w:kern w:val="0"/>
          <w:sz w:val="32"/>
          <w:szCs w:val="32"/>
          <w:lang w:val="zh-CN"/>
        </w:rPr>
        <w:t>上海政法学院公共管理硕士专业学位研究生培养方案</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公共管理硕士（MPA）专业学位研究生教育是为适应不断发展的公共管理现代化、科学化、专业化的迫切需求，完善公共管理人才培养体系，创新公共管理人才培养模式，提高公共管理人才培养质量而设立的。我校公共管理硕士（MPA）专业学位研究生教育是以行政管理、劳动与社会保障等其他相关学科为基础的研究生教育项目，主要涉及国际层面与司法层面的公共管理事务,充分发挥政法系统的行业优势及“中国－上海合作组织国际司法交流合作培训基地”的平台依托，创新现有的公共管理人才培养模式。</w:t>
      </w:r>
    </w:p>
    <w:p>
      <w:pPr>
        <w:widowControl/>
        <w:shd w:val="clear" w:color="auto" w:fill="FFFFFF"/>
        <w:snapToGrid w:val="0"/>
        <w:spacing w:line="520" w:lineRule="exact"/>
        <w:ind w:firstLine="482" w:firstLineChars="200"/>
        <w:jc w:val="left"/>
        <w:rPr>
          <w:rFonts w:cs="宋体" w:asciiTheme="minorEastAsia" w:hAnsiTheme="minorEastAsia"/>
          <w:b/>
          <w:bCs/>
          <w:color w:val="000000"/>
          <w:kern w:val="0"/>
          <w:sz w:val="24"/>
          <w:szCs w:val="24"/>
          <w:lang w:val="zh-CN"/>
        </w:rPr>
      </w:pPr>
      <w:r>
        <w:rPr>
          <w:rFonts w:hint="eastAsia" w:cs="宋体" w:asciiTheme="minorEastAsia" w:hAnsiTheme="minorEastAsia"/>
          <w:b/>
          <w:bCs/>
          <w:color w:val="000000"/>
          <w:kern w:val="0"/>
          <w:sz w:val="24"/>
          <w:szCs w:val="24"/>
          <w:lang w:val="zh-CN"/>
        </w:rPr>
        <w:t>一、培养目标</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培养具备良好的政治思想素质和职业道德素养，掌握系统的公共管理理论、知识和方法，具备从事公共管理与公共政策分析的能力，能够综合运用管理、政治、经济、法律、现代科技等方面知识和科学研究方法解决公共管理实际问题的德才兼备的高层次、应用型、复合型公共管理专门人才。</w:t>
      </w:r>
    </w:p>
    <w:p>
      <w:pPr>
        <w:widowControl/>
        <w:shd w:val="clear" w:color="auto" w:fill="FFFFFF"/>
        <w:snapToGrid w:val="0"/>
        <w:spacing w:line="520" w:lineRule="exact"/>
        <w:ind w:firstLine="482" w:firstLineChars="200"/>
        <w:jc w:val="left"/>
        <w:rPr>
          <w:rFonts w:cs="宋体" w:asciiTheme="minorEastAsia" w:hAnsiTheme="minorEastAsia"/>
          <w:b/>
          <w:bCs/>
          <w:color w:val="000000"/>
          <w:kern w:val="0"/>
          <w:sz w:val="24"/>
          <w:szCs w:val="24"/>
          <w:lang w:val="zh-CN"/>
        </w:rPr>
      </w:pPr>
      <w:r>
        <w:rPr>
          <w:rFonts w:hint="eastAsia" w:cs="宋体" w:asciiTheme="minorEastAsia" w:hAnsiTheme="minorEastAsia"/>
          <w:b/>
          <w:bCs/>
          <w:color w:val="000000"/>
          <w:kern w:val="0"/>
          <w:sz w:val="24"/>
          <w:szCs w:val="24"/>
          <w:lang w:val="zh-CN"/>
        </w:rPr>
        <w:t>二、招生类型及报考资格</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招生类型为“全日制”和“非全日制”，学生通过“全国硕士研究生统一入学考试”招收。</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 xml:space="preserve">报考资格以教育行政管理部门当年有关文件为准。一般要求具有大学本科学历和三年（含三年）以上实际工作经历。 </w:t>
      </w:r>
    </w:p>
    <w:p>
      <w:pPr>
        <w:widowControl/>
        <w:shd w:val="clear" w:color="auto" w:fill="FFFFFF"/>
        <w:snapToGrid w:val="0"/>
        <w:spacing w:line="520" w:lineRule="exact"/>
        <w:ind w:firstLine="482" w:firstLineChars="200"/>
        <w:jc w:val="left"/>
        <w:rPr>
          <w:rFonts w:cs="宋体" w:asciiTheme="minorEastAsia" w:hAnsiTheme="minorEastAsia"/>
          <w:b/>
          <w:bCs/>
          <w:color w:val="000000"/>
          <w:kern w:val="0"/>
          <w:sz w:val="24"/>
          <w:szCs w:val="24"/>
          <w:lang w:val="zh-CN"/>
        </w:rPr>
      </w:pPr>
      <w:r>
        <w:rPr>
          <w:rFonts w:hint="eastAsia" w:cs="宋体" w:asciiTheme="minorEastAsia" w:hAnsiTheme="minorEastAsia"/>
          <w:b/>
          <w:bCs/>
          <w:color w:val="000000"/>
          <w:kern w:val="0"/>
          <w:sz w:val="24"/>
          <w:szCs w:val="24"/>
          <w:lang w:val="zh-CN"/>
        </w:rPr>
        <w:t>三、培养方向</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1.行政管理方向。该培养方向要求学员深入了解公共部门行政管理的理论知识，熟练掌握行政管理的各项技能，成为政府部门以及司法机关公共管理的高层次开发应用型人才。</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2.社会保障方向。该培养方向要求学员深入了解社会保障的理论知识，熟练掌握社会保障管理的各项技能，成为公共部门社会保障管理的高层次开发应用型人才。</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3.公共安全管理方向。本学科方向重点聚焦于公共安全治理的核心问题，包括城市公共突发事件应急管理、基层社会治理、公共卫生和公共安全法律等。成为公共安全部门的高层次开发应用型人才。</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4.跨国公共事务管理方向。依托“中国－上海合作组织国际司法交流合作培训基地”，充分发挥上合组织战略优势，面向成员国、观察员国、对话伙伴国开展系统的人才培训，培养兼具国际化视野、专业化知识、应用型技能的高层次人才。</w:t>
      </w:r>
    </w:p>
    <w:p>
      <w:pPr>
        <w:widowControl/>
        <w:shd w:val="clear" w:color="auto" w:fill="FFFFFF"/>
        <w:snapToGrid w:val="0"/>
        <w:spacing w:line="520" w:lineRule="exact"/>
        <w:ind w:firstLine="482" w:firstLineChars="200"/>
        <w:jc w:val="left"/>
        <w:rPr>
          <w:rFonts w:cs="宋体" w:asciiTheme="minorEastAsia" w:hAnsiTheme="minorEastAsia"/>
          <w:b/>
          <w:bCs/>
          <w:color w:val="000000"/>
          <w:kern w:val="0"/>
          <w:sz w:val="24"/>
          <w:szCs w:val="24"/>
          <w:lang w:val="zh-CN"/>
        </w:rPr>
      </w:pPr>
      <w:r>
        <w:rPr>
          <w:rFonts w:hint="eastAsia" w:cs="宋体" w:asciiTheme="minorEastAsia" w:hAnsiTheme="minorEastAsia"/>
          <w:b/>
          <w:bCs/>
          <w:color w:val="000000"/>
          <w:kern w:val="0"/>
          <w:sz w:val="24"/>
          <w:szCs w:val="24"/>
          <w:lang w:val="zh-CN"/>
        </w:rPr>
        <w:t>四、学习方式与年限</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入学的学员可以选择“脱产”或“非脱产”方式进行学习。学习年限为2至4年。“脱产”学习年限最低为2年。“非脱产”学习年限一般不少于2.5年。最长学习年限不得超过4年。</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课程学习采取集中上课的方式。</w:t>
      </w:r>
    </w:p>
    <w:p>
      <w:pPr>
        <w:widowControl/>
        <w:shd w:val="clear" w:color="auto" w:fill="FFFFFF"/>
        <w:snapToGrid w:val="0"/>
        <w:spacing w:line="520" w:lineRule="exact"/>
        <w:ind w:firstLine="482" w:firstLineChars="200"/>
        <w:jc w:val="left"/>
        <w:rPr>
          <w:rFonts w:cs="宋体" w:asciiTheme="minorEastAsia" w:hAnsiTheme="minorEastAsia"/>
          <w:b/>
          <w:bCs/>
          <w:color w:val="000000"/>
          <w:kern w:val="0"/>
          <w:sz w:val="24"/>
          <w:szCs w:val="24"/>
          <w:lang w:val="zh-CN"/>
        </w:rPr>
      </w:pPr>
      <w:r>
        <w:rPr>
          <w:rFonts w:hint="eastAsia" w:cs="宋体" w:asciiTheme="minorEastAsia" w:hAnsiTheme="minorEastAsia"/>
          <w:b/>
          <w:bCs/>
          <w:color w:val="000000"/>
          <w:kern w:val="0"/>
          <w:sz w:val="24"/>
          <w:szCs w:val="24"/>
          <w:lang w:val="zh-CN"/>
        </w:rPr>
        <w:t>五、培养方式</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1.本专业采取课程学习、实践教学和学位论文相结合的培养方式。由相关教学团队负责核心课程和方向课程的教学任务，以确保师资的充裕性和延续性。教学团队设课程负责人1名，团队人数一般为3-4名（校内2-3名、兼职教师1-2名）。</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2.课程教学按统一规范，采取多元、互动的教学方式。综合运用课堂讲授、研讨、角色扮演、案例分析、对抗辩论、项目规划等多元互动方式，把多种教学手段有机结合起来，并通过习题作业、小论文、社会调查、研究报告、考试等环节完成考核，注重理论联系实际，既要把握公共管理学科前沿，又要密切结合现实实践，侧重案例教学与实践实训，强调学生分析问题和解决问题能力的培养。</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3.指导方式采取“双导师制”，即由一名校内导师和一名行业导师共同指导。校内导师是指本校编制内的全职教师。担任核心课教学任务的教师应为校内教师，并具有博士学位或副教授以上职称。</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学校聘请具有扎实理论功底、丰富实践经验、综合业务素质高的公共部门中高层领导干部或业务骨干担任行业导师。行业导师除参与课程教学外，可负责指导MPA学生的社会实践活动，符合条件的也可担任研究生论文的指导工作。行业导师要在教学活动中发挥重要作用，参与专业方向学生培养的行业导师原则上应不少于专业方向师资队伍的三分之一。导师指导与课程教学相结合，结合课题研究、教学实践和论文写作指导学生学习。在第一学年内（一般是第二学期结束之前）确定校内导师，随后确定行业导师，导师确定将根据研究生的意愿、导师的意见及其研究方向等因素进行综合考虑；导师要指导学生制订个人培养计划。</w:t>
      </w:r>
    </w:p>
    <w:p>
      <w:pPr>
        <w:widowControl/>
        <w:shd w:val="clear" w:color="auto" w:fill="FFFFFF"/>
        <w:snapToGrid w:val="0"/>
        <w:spacing w:line="520" w:lineRule="exact"/>
        <w:ind w:firstLine="482" w:firstLineChars="200"/>
        <w:jc w:val="left"/>
        <w:rPr>
          <w:rFonts w:cs="宋体" w:asciiTheme="minorEastAsia" w:hAnsiTheme="minorEastAsia"/>
          <w:b/>
          <w:bCs/>
          <w:color w:val="000000"/>
          <w:kern w:val="0"/>
          <w:sz w:val="24"/>
          <w:szCs w:val="24"/>
          <w:lang w:val="zh-CN"/>
        </w:rPr>
      </w:pPr>
      <w:r>
        <w:rPr>
          <w:rFonts w:hint="eastAsia" w:cs="宋体" w:asciiTheme="minorEastAsia" w:hAnsiTheme="minorEastAsia"/>
          <w:b/>
          <w:bCs/>
          <w:color w:val="000000"/>
          <w:kern w:val="0"/>
          <w:sz w:val="24"/>
          <w:szCs w:val="24"/>
          <w:lang w:val="zh-CN"/>
        </w:rPr>
        <w:t>六、学分要求与课程设置</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1.根据全国公共管理专业学位研究生教育指导委员会《公共管理硕士专业学位研究生指导性培养方案》，本专业课程设置突出理论与实践相结合的原则，学生培养实行学分制。总学分不少于38学分。</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2.课程设置分为核心课、专业方向必修课、选修课和社会实践四个模块。其中，核心课程20学分，专业方向必修课程8学分，选修课程不少于8学分，社会实践2学分。课程学习中，每个学分学习时间不少于16课时。具体课程设置情况详见附件。</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3.社会实践时间为三个月。社会实践应在教师的指导下进行，社会实践结束后，学生须提交社会实践报告。实习实践结束后应按照相关要求提交不少于10000字的实习实践报告和实习实践鉴定报告。我校具有良好的司法行政行业办学特色，依托“中国-上海合作组织国际司法交流合作培训基地”与上海市人大、上海市政法系统、上海市信访办、上海应急管理局等56家单位共建实习基地，为MPA学员实习实践提供良好的条件。围绕上合组织研究院的智库建设，我院与实践基地共同搭建了一个高水平产学研合作平台，围绕人才培养、项目开发和科学研究，进行实质性的互惠合作。</w:t>
      </w:r>
    </w:p>
    <w:p>
      <w:pPr>
        <w:widowControl/>
        <w:shd w:val="clear" w:color="auto" w:fill="FFFFFF"/>
        <w:snapToGrid w:val="0"/>
        <w:spacing w:line="520" w:lineRule="exact"/>
        <w:ind w:firstLine="482" w:firstLineChars="200"/>
        <w:jc w:val="left"/>
        <w:rPr>
          <w:rFonts w:cs="宋体" w:asciiTheme="minorEastAsia" w:hAnsiTheme="minorEastAsia"/>
          <w:b/>
          <w:bCs/>
          <w:color w:val="000000"/>
          <w:kern w:val="0"/>
          <w:sz w:val="24"/>
          <w:szCs w:val="24"/>
          <w:lang w:val="zh-CN"/>
        </w:rPr>
      </w:pPr>
      <w:r>
        <w:rPr>
          <w:rFonts w:hint="eastAsia" w:cs="宋体" w:asciiTheme="minorEastAsia" w:hAnsiTheme="minorEastAsia"/>
          <w:b/>
          <w:bCs/>
          <w:color w:val="000000"/>
          <w:kern w:val="0"/>
          <w:sz w:val="24"/>
          <w:szCs w:val="24"/>
          <w:lang w:val="zh-CN"/>
        </w:rPr>
        <w:t>七、学位论文与学位授予</w:t>
      </w:r>
    </w:p>
    <w:p>
      <w:pPr>
        <w:widowControl/>
        <w:shd w:val="clear" w:color="auto" w:fill="FFFFFF"/>
        <w:snapToGrid w:val="0"/>
        <w:spacing w:line="520" w:lineRule="exact"/>
        <w:ind w:firstLine="422" w:firstLineChars="200"/>
        <w:jc w:val="left"/>
        <w:rPr>
          <w:rFonts w:cs="宋体" w:asciiTheme="minorEastAsia" w:hAnsiTheme="minorEastAsia"/>
          <w:b/>
          <w:bCs/>
          <w:color w:val="000000"/>
          <w:kern w:val="0"/>
          <w:szCs w:val="21"/>
          <w:lang w:val="zh-CN"/>
        </w:rPr>
      </w:pPr>
      <w:r>
        <w:rPr>
          <w:rFonts w:hint="eastAsia" w:cs="宋体" w:asciiTheme="minorEastAsia" w:hAnsiTheme="minorEastAsia"/>
          <w:b/>
          <w:bCs/>
          <w:color w:val="000000"/>
          <w:kern w:val="0"/>
          <w:szCs w:val="21"/>
          <w:lang w:val="zh-CN"/>
        </w:rPr>
        <w:t>（一）学位论文要求</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学位论文应体现专业学位的特点，选题紧密结合公共管理实践中的具体问题，特别鼓励学生选择与自己的工作领域和工作岗位相关的问题展开论文研究。学生应该运用所学理论、知识和方法，展开调查研究与分析论述，并提出相关政策建议或改进管理的措施。</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学位论文形式可以有专题研究、调查报告和案例分析等，以专题研究为主。论文写作时间不少于一年。专题类论文正文字数不少于2.5万字；调查报告类和案例分析类论文正文字数不少于3万字。</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学位论文应在导师指导下，经过开题、写作、答辩等环节完成。其中，论文开题时间应至少在答辩前半年进行，学位论文实行预答辩制度，未通过预答辩者不能进入学位论文答辩。</w:t>
      </w:r>
    </w:p>
    <w:p>
      <w:pPr>
        <w:widowControl/>
        <w:shd w:val="clear" w:color="auto" w:fill="FFFFFF"/>
        <w:snapToGrid w:val="0"/>
        <w:spacing w:line="520" w:lineRule="exact"/>
        <w:ind w:firstLine="422" w:firstLineChars="200"/>
        <w:jc w:val="left"/>
        <w:rPr>
          <w:rFonts w:cs="宋体" w:asciiTheme="minorEastAsia" w:hAnsiTheme="minorEastAsia"/>
          <w:b/>
          <w:bCs/>
          <w:color w:val="000000"/>
          <w:kern w:val="0"/>
          <w:szCs w:val="21"/>
          <w:lang w:val="zh-CN"/>
        </w:rPr>
      </w:pPr>
      <w:r>
        <w:rPr>
          <w:rFonts w:hint="eastAsia" w:cs="宋体" w:asciiTheme="minorEastAsia" w:hAnsiTheme="minorEastAsia"/>
          <w:b/>
          <w:bCs/>
          <w:color w:val="000000"/>
          <w:kern w:val="0"/>
          <w:szCs w:val="21"/>
          <w:lang w:val="zh-CN"/>
        </w:rPr>
        <w:t>(二)学位授予</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学位论文的评审、答辩和学位授予按上海政法学院学位委员会有关文件执行。公共管理硕士（MPA）专业学位研究生在规定年限之内修满培养方案所规定的所有学分，成绩合格，通过论文答辩的研究生，按照教育部和全国MPA教育指导委员会规定，经上海政法学院学位委员会审核批准后，授予上海政法学院公共管理硕士（MPA）研究生毕业证书和学位证书。</w:t>
      </w:r>
    </w:p>
    <w:p>
      <w:pPr>
        <w:widowControl/>
        <w:shd w:val="clear" w:color="auto" w:fill="FFFFFF"/>
        <w:snapToGrid w:val="0"/>
        <w:spacing w:line="520" w:lineRule="exact"/>
        <w:ind w:firstLine="482" w:firstLineChars="200"/>
        <w:jc w:val="left"/>
        <w:rPr>
          <w:rFonts w:cs="宋体" w:asciiTheme="minorEastAsia" w:hAnsiTheme="minorEastAsia"/>
          <w:b/>
          <w:bCs/>
          <w:color w:val="000000"/>
          <w:kern w:val="0"/>
          <w:sz w:val="24"/>
          <w:szCs w:val="24"/>
          <w:lang w:val="zh-CN"/>
        </w:rPr>
      </w:pPr>
      <w:r>
        <w:rPr>
          <w:rFonts w:hint="eastAsia" w:cs="宋体" w:asciiTheme="minorEastAsia" w:hAnsiTheme="minorEastAsia"/>
          <w:b/>
          <w:bCs/>
          <w:color w:val="000000"/>
          <w:kern w:val="0"/>
          <w:sz w:val="24"/>
          <w:szCs w:val="24"/>
          <w:lang w:val="zh-CN"/>
        </w:rPr>
        <w:t>八、办学环境</w:t>
      </w:r>
    </w:p>
    <w:p>
      <w:pPr>
        <w:widowControl/>
        <w:shd w:val="clear" w:color="auto" w:fill="FFFFFF"/>
        <w:snapToGrid w:val="0"/>
        <w:spacing w:line="520" w:lineRule="exact"/>
        <w:ind w:firstLine="420" w:firstLineChars="200"/>
        <w:jc w:val="left"/>
        <w:rPr>
          <w:rFonts w:cs="宋体" w:asciiTheme="minorEastAsia" w:hAnsiTheme="minorEastAsia"/>
          <w:bCs/>
          <w:color w:val="000000"/>
          <w:kern w:val="0"/>
          <w:szCs w:val="21"/>
          <w:lang w:val="zh-CN"/>
        </w:rPr>
      </w:pPr>
      <w:r>
        <w:rPr>
          <w:rFonts w:hint="eastAsia" w:cs="宋体" w:asciiTheme="minorEastAsia" w:hAnsiTheme="minorEastAsia"/>
          <w:bCs/>
          <w:color w:val="000000"/>
          <w:kern w:val="0"/>
          <w:szCs w:val="21"/>
          <w:lang w:val="zh-CN"/>
        </w:rPr>
        <w:t>学校为公共管理硕士（MPA）专业学位研究生提供与其他在校研究生同等标准的办学环境和学习条件，包括硬件设施、教学投入、学习保障、后勤服务等。适时为公共管理硕士（MPA）专业学位研究生提供职业规划和心理调适等咨询服务。同时，根据公共管理硕士（MPA）专业学位研究生的教学特点，加强案例分析和研讨所需相关设施的建设，充分利用我校MPA案例讨论室、上合基地司法实训室和实践教学基地等教学资源，提升教学效果。</w:t>
      </w:r>
    </w:p>
    <w:p>
      <w:pPr>
        <w:widowControl/>
        <w:jc w:val="left"/>
        <w:rPr>
          <w:rFonts w:ascii="宋体" w:hAnsi="宋体" w:eastAsia="宋体" w:cs="宋体"/>
          <w:b/>
          <w:kern w:val="0"/>
          <w:sz w:val="24"/>
          <w:szCs w:val="20"/>
        </w:rPr>
      </w:pPr>
      <w:r>
        <w:rPr>
          <w:rFonts w:ascii="宋体" w:hAnsi="宋体" w:eastAsia="宋体" w:cs="宋体"/>
          <w:b/>
          <w:kern w:val="0"/>
          <w:sz w:val="24"/>
          <w:szCs w:val="20"/>
        </w:rPr>
        <w:br w:type="page"/>
      </w:r>
    </w:p>
    <w:tbl>
      <w:tblPr>
        <w:tblStyle w:val="5"/>
        <w:tblW w:w="9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900"/>
        <w:gridCol w:w="3380"/>
        <w:gridCol w:w="760"/>
        <w:gridCol w:w="720"/>
        <w:gridCol w:w="1080"/>
        <w:gridCol w:w="90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5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kern w:val="0"/>
                <w:szCs w:val="21"/>
              </w:rPr>
            </w:pPr>
            <w:r>
              <w:rPr>
                <w:rFonts w:hint="eastAsia" w:cs="宋体" w:asciiTheme="minorEastAsia" w:hAnsiTheme="minorEastAsia"/>
                <w:b/>
                <w:kern w:val="0"/>
                <w:szCs w:val="21"/>
              </w:rPr>
              <w:t>课程</w:t>
            </w:r>
          </w:p>
          <w:p>
            <w:pPr>
              <w:widowControl/>
              <w:spacing w:line="400" w:lineRule="exact"/>
              <w:jc w:val="center"/>
              <w:rPr>
                <w:rFonts w:cs="宋体" w:asciiTheme="minorEastAsia" w:hAnsiTheme="minorEastAsia"/>
                <w:kern w:val="0"/>
                <w:szCs w:val="21"/>
              </w:rPr>
            </w:pPr>
            <w:r>
              <w:rPr>
                <w:rFonts w:hint="eastAsia" w:cs="宋体" w:asciiTheme="minorEastAsia" w:hAnsiTheme="minorEastAsia"/>
                <w:b/>
                <w:kern w:val="0"/>
                <w:szCs w:val="21"/>
              </w:rPr>
              <w:t>类别</w:t>
            </w: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kern w:val="0"/>
                <w:szCs w:val="21"/>
              </w:rPr>
            </w:pPr>
            <w:r>
              <w:rPr>
                <w:rFonts w:hint="eastAsia" w:cs="宋体" w:asciiTheme="minorEastAsia" w:hAnsiTheme="minorEastAsia"/>
                <w:b/>
                <w:kern w:val="0"/>
                <w:szCs w:val="21"/>
              </w:rPr>
              <w:t>课 程 名 称</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kern w:val="0"/>
                <w:szCs w:val="21"/>
              </w:rPr>
            </w:pPr>
            <w:r>
              <w:rPr>
                <w:rFonts w:hint="eastAsia" w:cs="宋体" w:asciiTheme="minorEastAsia" w:hAnsiTheme="minorEastAsia"/>
                <w:b/>
                <w:kern w:val="0"/>
                <w:szCs w:val="21"/>
              </w:rPr>
              <w:t>开课</w:t>
            </w:r>
          </w:p>
          <w:p>
            <w:pPr>
              <w:widowControl/>
              <w:spacing w:line="400" w:lineRule="exact"/>
              <w:jc w:val="center"/>
              <w:rPr>
                <w:rFonts w:cs="宋体" w:asciiTheme="minorEastAsia" w:hAnsiTheme="minorEastAsia"/>
                <w:kern w:val="0"/>
                <w:szCs w:val="21"/>
              </w:rPr>
            </w:pPr>
            <w:r>
              <w:rPr>
                <w:rFonts w:hint="eastAsia" w:cs="宋体" w:asciiTheme="minorEastAsia" w:hAnsiTheme="minorEastAsia"/>
                <w:b/>
                <w:kern w:val="0"/>
                <w:szCs w:val="21"/>
              </w:rPr>
              <w:t>学期</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kern w:val="0"/>
                <w:szCs w:val="21"/>
              </w:rPr>
            </w:pPr>
            <w:r>
              <w:rPr>
                <w:rFonts w:hint="eastAsia" w:cs="宋体" w:asciiTheme="minorEastAsia" w:hAnsiTheme="minorEastAsia"/>
                <w:b/>
                <w:kern w:val="0"/>
                <w:szCs w:val="21"/>
              </w:rPr>
              <w:t>学分</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b/>
                <w:kern w:val="0"/>
                <w:szCs w:val="21"/>
              </w:rPr>
            </w:pPr>
            <w:r>
              <w:rPr>
                <w:rFonts w:hint="eastAsia" w:cs="宋体" w:asciiTheme="minorEastAsia" w:hAnsiTheme="minorEastAsia"/>
                <w:b/>
                <w:kern w:val="0"/>
                <w:szCs w:val="21"/>
              </w:rPr>
              <w:t>授课</w:t>
            </w:r>
          </w:p>
          <w:p>
            <w:pPr>
              <w:widowControl/>
              <w:spacing w:line="400" w:lineRule="exact"/>
              <w:jc w:val="center"/>
              <w:rPr>
                <w:rFonts w:cs="宋体" w:asciiTheme="minorEastAsia" w:hAnsiTheme="minorEastAsia"/>
                <w:kern w:val="0"/>
                <w:szCs w:val="21"/>
              </w:rPr>
            </w:pPr>
            <w:r>
              <w:rPr>
                <w:rFonts w:hint="eastAsia" w:cs="宋体" w:asciiTheme="minorEastAsia" w:hAnsiTheme="minorEastAsia"/>
                <w:b/>
                <w:kern w:val="0"/>
                <w:szCs w:val="21"/>
              </w:rPr>
              <w:t>教师</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kern w:val="0"/>
                <w:szCs w:val="21"/>
              </w:rPr>
            </w:pPr>
            <w:r>
              <w:rPr>
                <w:rFonts w:hint="eastAsia" w:cs="宋体" w:asciiTheme="minorEastAsia" w:hAnsiTheme="minorEastAsia"/>
                <w:b/>
                <w:kern w:val="0"/>
                <w:szCs w:val="21"/>
              </w:rPr>
              <w:t>总学时</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kern w:val="0"/>
                <w:szCs w:val="21"/>
              </w:rPr>
            </w:pPr>
            <w:r>
              <w:rPr>
                <w:rFonts w:hint="eastAsia" w:cs="宋体" w:asciiTheme="minorEastAsia" w:hAnsiTheme="minorEastAsia"/>
                <w:b/>
                <w:kern w:val="0"/>
                <w:szCs w:val="21"/>
              </w:rPr>
              <w:t>考核</w:t>
            </w:r>
          </w:p>
          <w:p>
            <w:pPr>
              <w:widowControl/>
              <w:spacing w:line="400" w:lineRule="exact"/>
              <w:jc w:val="center"/>
              <w:rPr>
                <w:rFonts w:cs="宋体" w:asciiTheme="minorEastAsia" w:hAnsiTheme="minorEastAsia"/>
                <w:kern w:val="0"/>
                <w:szCs w:val="21"/>
              </w:rPr>
            </w:pPr>
            <w:r>
              <w:rPr>
                <w:rFonts w:hint="eastAsia" w:cs="宋体" w:asciiTheme="minorEastAsia" w:hAnsiTheme="minorEastAsia"/>
                <w:b/>
                <w:kern w:val="0"/>
                <w:szCs w:val="21"/>
              </w:rPr>
              <w:t>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54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kern w:val="0"/>
                <w:szCs w:val="21"/>
              </w:rPr>
            </w:pPr>
            <w:r>
              <w:rPr>
                <w:rFonts w:hint="eastAsia" w:cs="宋体" w:asciiTheme="minorEastAsia" w:hAnsiTheme="minorEastAsia"/>
                <w:b/>
                <w:kern w:val="0"/>
                <w:szCs w:val="21"/>
              </w:rPr>
              <w:t>核</w:t>
            </w:r>
          </w:p>
          <w:p>
            <w:pPr>
              <w:widowControl/>
              <w:spacing w:line="400" w:lineRule="exact"/>
              <w:jc w:val="center"/>
              <w:rPr>
                <w:rFonts w:cs="宋体" w:asciiTheme="minorEastAsia" w:hAnsiTheme="minorEastAsia"/>
                <w:kern w:val="0"/>
                <w:szCs w:val="21"/>
              </w:rPr>
            </w:pPr>
            <w:r>
              <w:rPr>
                <w:rFonts w:hint="eastAsia" w:cs="宋体" w:asciiTheme="minorEastAsia" w:hAnsiTheme="minorEastAsia"/>
                <w:b/>
                <w:kern w:val="0"/>
                <w:szCs w:val="21"/>
              </w:rPr>
              <w:t>心</w:t>
            </w:r>
          </w:p>
          <w:p>
            <w:pPr>
              <w:widowControl/>
              <w:spacing w:line="400" w:lineRule="exact"/>
              <w:jc w:val="center"/>
              <w:rPr>
                <w:rFonts w:cs="宋体" w:asciiTheme="minorEastAsia" w:hAnsiTheme="minorEastAsia"/>
                <w:kern w:val="0"/>
                <w:szCs w:val="21"/>
              </w:rPr>
            </w:pPr>
            <w:r>
              <w:rPr>
                <w:rFonts w:hint="eastAsia" w:cs="宋体" w:asciiTheme="minorEastAsia" w:hAnsiTheme="minorEastAsia"/>
                <w:b/>
                <w:kern w:val="0"/>
                <w:szCs w:val="21"/>
              </w:rPr>
              <w:t>课</w:t>
            </w:r>
          </w:p>
          <w:p>
            <w:pPr>
              <w:widowControl/>
              <w:spacing w:line="400" w:lineRule="exact"/>
              <w:jc w:val="center"/>
              <w:rPr>
                <w:rFonts w:cs="宋体" w:asciiTheme="minorEastAsia" w:hAnsiTheme="minorEastAsia"/>
                <w:kern w:val="0"/>
                <w:szCs w:val="21"/>
              </w:rPr>
            </w:pPr>
            <w:r>
              <w:rPr>
                <w:rFonts w:hint="eastAsia" w:cs="宋体" w:asciiTheme="minorEastAsia" w:hAnsiTheme="minorEastAsia"/>
                <w:b/>
                <w:kern w:val="0"/>
                <w:szCs w:val="21"/>
              </w:rPr>
              <w:t>程</w:t>
            </w: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中国特色社会主义理论与实践研究</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1</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100" w:beforeAutospacing="1" w:afterAutospacing="1"/>
              <w:jc w:val="center"/>
              <w:rPr>
                <w:rFonts w:asciiTheme="minorEastAsia" w:hAnsiTheme="minorEastAsia"/>
                <w:szCs w:val="21"/>
              </w:rPr>
            </w:pPr>
            <w:r>
              <w:rPr>
                <w:rFonts w:asciiTheme="minorEastAsia" w:hAnsiTheme="minorEastAsia"/>
                <w:szCs w:val="21"/>
              </w:rPr>
              <w:t>徐世甫</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英语</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1</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100" w:beforeAutospacing="1" w:afterAutospacing="1"/>
              <w:jc w:val="center"/>
              <w:rPr>
                <w:rFonts w:asciiTheme="minorEastAsia" w:hAnsiTheme="minorEastAsia"/>
                <w:szCs w:val="21"/>
              </w:rPr>
            </w:pPr>
            <w:r>
              <w:rPr>
                <w:rFonts w:asciiTheme="minorEastAsia" w:hAnsiTheme="minorEastAsia"/>
                <w:szCs w:val="21"/>
              </w:rPr>
              <w:t>夏甘霖</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学术规范和论文写作</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1</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asciiTheme="minorEastAsia" w:hAnsiTheme="minorEastAsia"/>
                <w:szCs w:val="21"/>
              </w:rPr>
              <w:t>周松青</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公共管理</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1</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asciiTheme="minorEastAsia" w:hAnsiTheme="minorEastAsia"/>
                <w:szCs w:val="21"/>
              </w:rPr>
              <w:t>杜建军</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48</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公共政策分析</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1</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asciiTheme="minorEastAsia" w:hAnsiTheme="minorEastAsia"/>
                <w:szCs w:val="21"/>
              </w:rPr>
              <w:t>周顺</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48</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社会研究方法</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asciiTheme="minorEastAsia" w:hAnsiTheme="minorEastAsia"/>
                <w:szCs w:val="21"/>
              </w:rPr>
              <w:t>石发勇</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公共伦理</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asciiTheme="minorEastAsia" w:hAnsiTheme="minorEastAsia"/>
                <w:szCs w:val="21"/>
              </w:rPr>
              <w:t>温曼</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公文写作</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辛方坤</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电子政务</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asciiTheme="minorEastAsia" w:hAnsiTheme="minorEastAsia"/>
                <w:szCs w:val="21"/>
              </w:rPr>
              <w:t>孙频捷</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64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kern w:val="0"/>
                <w:szCs w:val="21"/>
              </w:rPr>
            </w:pPr>
            <w:r>
              <w:rPr>
                <w:rFonts w:hint="eastAsia" w:cs="宋体" w:asciiTheme="minorEastAsia" w:hAnsiTheme="minorEastAsia"/>
                <w:b/>
                <w:kern w:val="0"/>
                <w:szCs w:val="21"/>
              </w:rPr>
              <w:t>专业方向 必修</w:t>
            </w:r>
          </w:p>
          <w:p>
            <w:pPr>
              <w:widowControl/>
              <w:spacing w:line="400" w:lineRule="exact"/>
              <w:jc w:val="center"/>
              <w:rPr>
                <w:rFonts w:cs="宋体" w:asciiTheme="minorEastAsia" w:hAnsiTheme="minorEastAsia"/>
                <w:kern w:val="0"/>
                <w:szCs w:val="21"/>
              </w:rPr>
            </w:pPr>
            <w:r>
              <w:rPr>
                <w:rFonts w:hint="eastAsia" w:cs="宋体" w:asciiTheme="minorEastAsia" w:hAnsiTheme="minorEastAsia"/>
                <w:b/>
                <w:kern w:val="0"/>
                <w:szCs w:val="21"/>
              </w:rPr>
              <w:t>课</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kern w:val="0"/>
                <w:szCs w:val="21"/>
              </w:rPr>
            </w:pPr>
            <w:r>
              <w:rPr>
                <w:rFonts w:hint="eastAsia" w:cs="宋体" w:asciiTheme="minorEastAsia" w:hAnsiTheme="minorEastAsia"/>
                <w:kern w:val="0"/>
                <w:szCs w:val="21"/>
              </w:rPr>
              <w:t>行政</w:t>
            </w:r>
          </w:p>
          <w:p>
            <w:pPr>
              <w:widowControl/>
              <w:spacing w:line="400" w:lineRule="exact"/>
              <w:jc w:val="center"/>
              <w:rPr>
                <w:rFonts w:cs="宋体" w:asciiTheme="minorEastAsia" w:hAnsiTheme="minorEastAsia"/>
                <w:kern w:val="0"/>
                <w:szCs w:val="21"/>
              </w:rPr>
            </w:pPr>
            <w:r>
              <w:rPr>
                <w:rFonts w:hint="eastAsia" w:cs="宋体" w:asciiTheme="minorEastAsia" w:hAnsiTheme="minorEastAsia"/>
                <w:kern w:val="0"/>
                <w:szCs w:val="21"/>
              </w:rPr>
              <w:t>管理</w:t>
            </w:r>
          </w:p>
          <w:p>
            <w:pPr>
              <w:widowControl/>
              <w:spacing w:line="400" w:lineRule="exact"/>
              <w:jc w:val="center"/>
              <w:rPr>
                <w:rFonts w:cs="宋体" w:asciiTheme="minorEastAsia" w:hAnsiTheme="minorEastAsia"/>
                <w:kern w:val="0"/>
                <w:szCs w:val="21"/>
              </w:rPr>
            </w:pPr>
            <w:r>
              <w:rPr>
                <w:rFonts w:hint="eastAsia" w:cs="宋体" w:asciiTheme="minorEastAsia" w:hAnsiTheme="minorEastAsia"/>
                <w:kern w:val="0"/>
                <w:szCs w:val="21"/>
              </w:rPr>
              <w:t>方向</w:t>
            </w: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西方行政学说</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asciiTheme="minorEastAsia" w:hAnsiTheme="minorEastAsia"/>
                <w:szCs w:val="21"/>
              </w:rPr>
              <w:t>孔凡河</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64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公共组织理论</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100" w:beforeAutospacing="1" w:afterAutospacing="1"/>
              <w:jc w:val="center"/>
              <w:rPr>
                <w:rFonts w:asciiTheme="minorEastAsia" w:hAnsiTheme="minorEastAsia"/>
                <w:szCs w:val="21"/>
              </w:rPr>
            </w:pPr>
            <w:r>
              <w:rPr>
                <w:rFonts w:asciiTheme="minorEastAsia" w:hAnsiTheme="minorEastAsia"/>
                <w:szCs w:val="21"/>
              </w:rPr>
              <w:t>张宪丽</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4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公共部门人力资源管理</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100" w:beforeAutospacing="1" w:afterAutospacing="1"/>
              <w:jc w:val="center"/>
              <w:rPr>
                <w:rFonts w:asciiTheme="minorEastAsia" w:hAnsiTheme="minorEastAsia"/>
                <w:szCs w:val="21"/>
              </w:rPr>
            </w:pPr>
            <w:r>
              <w:rPr>
                <w:rFonts w:asciiTheme="minorEastAsia" w:hAnsiTheme="minorEastAsia"/>
                <w:szCs w:val="21"/>
              </w:rPr>
              <w:t>王晓燕</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64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宪法与行政法</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asciiTheme="minorEastAsia" w:hAnsiTheme="minorEastAsia"/>
                <w:szCs w:val="21"/>
              </w:rPr>
              <w:t>贾少学</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64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kern w:val="0"/>
                <w:szCs w:val="21"/>
              </w:rPr>
            </w:pPr>
            <w:r>
              <w:rPr>
                <w:rFonts w:hint="eastAsia" w:cs="宋体" w:asciiTheme="minorEastAsia" w:hAnsiTheme="minorEastAsia"/>
                <w:b/>
                <w:kern w:val="0"/>
                <w:szCs w:val="21"/>
              </w:rPr>
              <w:t>专业方向 必修</w:t>
            </w:r>
          </w:p>
          <w:p>
            <w:pPr>
              <w:widowControl/>
              <w:spacing w:line="400" w:lineRule="exact"/>
              <w:jc w:val="center"/>
              <w:rPr>
                <w:rFonts w:cs="宋体" w:asciiTheme="minorEastAsia" w:hAnsiTheme="minorEastAsia"/>
                <w:kern w:val="0"/>
                <w:szCs w:val="21"/>
              </w:rPr>
            </w:pPr>
            <w:r>
              <w:rPr>
                <w:rFonts w:hint="eastAsia" w:cs="宋体" w:asciiTheme="minorEastAsia" w:hAnsiTheme="minorEastAsia"/>
                <w:b/>
                <w:kern w:val="0"/>
                <w:szCs w:val="21"/>
              </w:rPr>
              <w:t>课</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kern w:val="0"/>
                <w:szCs w:val="21"/>
              </w:rPr>
            </w:pPr>
            <w:r>
              <w:rPr>
                <w:rFonts w:hint="eastAsia" w:cs="宋体" w:asciiTheme="minorEastAsia" w:hAnsiTheme="minorEastAsia"/>
                <w:kern w:val="0"/>
                <w:szCs w:val="21"/>
              </w:rPr>
              <w:t>劳动</w:t>
            </w:r>
          </w:p>
          <w:p>
            <w:pPr>
              <w:widowControl/>
              <w:spacing w:line="400" w:lineRule="exact"/>
              <w:jc w:val="center"/>
              <w:rPr>
                <w:rFonts w:cs="宋体" w:asciiTheme="minorEastAsia" w:hAnsiTheme="minorEastAsia"/>
                <w:kern w:val="0"/>
                <w:szCs w:val="21"/>
              </w:rPr>
            </w:pPr>
            <w:r>
              <w:rPr>
                <w:rFonts w:hint="eastAsia" w:cs="宋体" w:asciiTheme="minorEastAsia" w:hAnsiTheme="minorEastAsia"/>
                <w:kern w:val="0"/>
                <w:szCs w:val="21"/>
              </w:rPr>
              <w:t>保障</w:t>
            </w:r>
          </w:p>
          <w:p>
            <w:pPr>
              <w:widowControl/>
              <w:spacing w:line="400" w:lineRule="exact"/>
              <w:jc w:val="center"/>
              <w:rPr>
                <w:rFonts w:cs="宋体" w:asciiTheme="minorEastAsia" w:hAnsiTheme="minorEastAsia"/>
                <w:kern w:val="0"/>
                <w:szCs w:val="21"/>
              </w:rPr>
            </w:pPr>
            <w:r>
              <w:rPr>
                <w:rFonts w:hint="eastAsia" w:cs="宋体" w:asciiTheme="minorEastAsia" w:hAnsiTheme="minorEastAsia"/>
                <w:kern w:val="0"/>
                <w:szCs w:val="21"/>
              </w:rPr>
              <w:t>方向</w:t>
            </w: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中外劳动与社会保障体制比较</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jc w:val="center"/>
              <w:rPr>
                <w:rFonts w:asciiTheme="minorEastAsia" w:hAnsiTheme="minorEastAsia"/>
                <w:szCs w:val="21"/>
              </w:rPr>
            </w:pPr>
            <w:r>
              <w:rPr>
                <w:rFonts w:hint="eastAsia" w:asciiTheme="minorEastAsia" w:hAnsiTheme="minorEastAsia"/>
                <w:szCs w:val="21"/>
              </w:rPr>
              <w:t>3</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asciiTheme="minorEastAsia" w:hAnsiTheme="minorEastAsia"/>
                <w:szCs w:val="21"/>
              </w:rPr>
              <w:t>卢驰文</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64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劳动与社会保障案例分析</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asciiTheme="minorEastAsia" w:hAnsiTheme="minorEastAsia"/>
                <w:szCs w:val="21"/>
              </w:rPr>
              <w:t>杨玲丽</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64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人力资源管理专题</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3</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asciiTheme="minorEastAsia" w:hAnsiTheme="minorEastAsia"/>
                <w:szCs w:val="21"/>
              </w:rPr>
              <w:t>王慧博</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4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领导科学</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asciiTheme="minorEastAsia" w:hAnsiTheme="minorEastAsia"/>
                <w:szCs w:val="21"/>
              </w:rPr>
              <w:t>罗小娟</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4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kern w:val="0"/>
                <w:szCs w:val="21"/>
              </w:rPr>
            </w:pPr>
            <w:r>
              <w:rPr>
                <w:rFonts w:hint="eastAsia" w:cs="宋体" w:asciiTheme="minorEastAsia" w:hAnsiTheme="minorEastAsia"/>
                <w:b/>
                <w:kern w:val="0"/>
                <w:szCs w:val="21"/>
              </w:rPr>
              <w:t>专业方向 必修</w:t>
            </w:r>
          </w:p>
          <w:p>
            <w:pPr>
              <w:widowControl/>
              <w:spacing w:line="400" w:lineRule="exact"/>
              <w:jc w:val="center"/>
              <w:rPr>
                <w:rFonts w:cs="宋体" w:asciiTheme="minorEastAsia" w:hAnsiTheme="minorEastAsia"/>
                <w:kern w:val="0"/>
                <w:szCs w:val="21"/>
              </w:rPr>
            </w:pPr>
            <w:r>
              <w:rPr>
                <w:rFonts w:hint="eastAsia" w:cs="宋体" w:asciiTheme="minorEastAsia" w:hAnsiTheme="minorEastAsia"/>
                <w:b/>
                <w:kern w:val="0"/>
                <w:szCs w:val="21"/>
              </w:rPr>
              <w:t>课</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kern w:val="0"/>
                <w:szCs w:val="21"/>
              </w:rPr>
            </w:pPr>
            <w:r>
              <w:rPr>
                <w:rFonts w:hint="eastAsia" w:cs="宋体" w:asciiTheme="minorEastAsia" w:hAnsiTheme="minorEastAsia"/>
                <w:kern w:val="0"/>
                <w:szCs w:val="21"/>
              </w:rPr>
              <w:t>跨国公</w:t>
            </w:r>
            <w:bookmarkStart w:id="0" w:name="_GoBack"/>
            <w:bookmarkEnd w:id="0"/>
            <w:r>
              <w:rPr>
                <w:rFonts w:hint="eastAsia" w:cs="宋体" w:asciiTheme="minorEastAsia" w:hAnsiTheme="minorEastAsia"/>
                <w:kern w:val="0"/>
                <w:szCs w:val="21"/>
              </w:rPr>
              <w:t>共事务</w:t>
            </w:r>
          </w:p>
          <w:p>
            <w:pPr>
              <w:widowControl/>
              <w:spacing w:line="400" w:lineRule="exact"/>
              <w:jc w:val="center"/>
              <w:rPr>
                <w:rFonts w:hint="eastAsia" w:cs="宋体" w:asciiTheme="minorEastAsia" w:hAnsiTheme="minorEastAsia"/>
                <w:kern w:val="0"/>
                <w:szCs w:val="21"/>
              </w:rPr>
            </w:pPr>
            <w:r>
              <w:rPr>
                <w:rFonts w:hint="eastAsia" w:cs="宋体" w:asciiTheme="minorEastAsia" w:hAnsiTheme="minorEastAsia"/>
                <w:kern w:val="0"/>
                <w:szCs w:val="21"/>
              </w:rPr>
              <w:t>管理</w:t>
            </w:r>
          </w:p>
          <w:p>
            <w:pPr>
              <w:widowControl/>
              <w:spacing w:line="400" w:lineRule="exact"/>
              <w:jc w:val="center"/>
              <w:rPr>
                <w:rFonts w:cs="宋体" w:asciiTheme="minorEastAsia" w:hAnsiTheme="minorEastAsia"/>
                <w:kern w:val="0"/>
                <w:szCs w:val="21"/>
              </w:rPr>
            </w:pPr>
            <w:r>
              <w:rPr>
                <w:rFonts w:hint="eastAsia" w:cs="宋体" w:asciiTheme="minorEastAsia" w:hAnsiTheme="minorEastAsia"/>
                <w:kern w:val="0"/>
                <w:szCs w:val="21"/>
              </w:rPr>
              <w:t>方向</w:t>
            </w: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外交学</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jc w:val="center"/>
              <w:rPr>
                <w:rFonts w:asciiTheme="minorEastAsia" w:hAnsiTheme="minorEastAsia"/>
                <w:szCs w:val="21"/>
              </w:rPr>
            </w:pPr>
            <w:r>
              <w:rPr>
                <w:rFonts w:hint="eastAsia" w:asciiTheme="minorEastAsia" w:hAnsiTheme="minorEastAsia"/>
                <w:szCs w:val="21"/>
              </w:rPr>
              <w:t>3</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袁胜育</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64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国际关系概论</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asciiTheme="minorEastAsia" w:hAnsiTheme="minorEastAsia"/>
                <w:szCs w:val="21"/>
              </w:rPr>
              <w:t>汪伟民</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64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当代中国外交</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3</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asciiTheme="minorEastAsia" w:hAnsiTheme="minorEastAsia"/>
                <w:szCs w:val="21"/>
              </w:rPr>
              <w:t>岳小颖</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64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外事管理</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100" w:beforeAutospacing="1" w:afterAutospacing="1"/>
              <w:jc w:val="center"/>
              <w:rPr>
                <w:rFonts w:asciiTheme="minorEastAsia" w:hAnsiTheme="minorEastAsia"/>
                <w:szCs w:val="21"/>
              </w:rPr>
            </w:pPr>
            <w:r>
              <w:rPr>
                <w:rFonts w:asciiTheme="minorEastAsia" w:hAnsiTheme="minorEastAsia"/>
                <w:szCs w:val="21"/>
              </w:rPr>
              <w:t>张弛</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64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cs="宋体" w:asciiTheme="minorEastAsia" w:hAnsiTheme="minorEastAsia"/>
                <w:kern w:val="0"/>
                <w:szCs w:val="21"/>
              </w:rPr>
            </w:pPr>
            <w:r>
              <w:rPr>
                <w:rFonts w:hint="eastAsia" w:cs="宋体" w:asciiTheme="minorEastAsia" w:hAnsiTheme="minorEastAsia"/>
                <w:b/>
                <w:kern w:val="0"/>
                <w:szCs w:val="21"/>
              </w:rPr>
              <w:t>专业方向 必修</w:t>
            </w:r>
          </w:p>
          <w:p>
            <w:pPr>
              <w:widowControl/>
              <w:ind w:firstLine="211" w:firstLineChars="100"/>
              <w:jc w:val="center"/>
              <w:rPr>
                <w:rFonts w:cs="宋体" w:asciiTheme="minorEastAsia" w:hAnsiTheme="minorEastAsia"/>
                <w:kern w:val="0"/>
                <w:szCs w:val="21"/>
              </w:rPr>
            </w:pPr>
            <w:r>
              <w:rPr>
                <w:rFonts w:hint="eastAsia" w:cs="宋体" w:asciiTheme="minorEastAsia" w:hAnsiTheme="minorEastAsia"/>
                <w:b/>
                <w:kern w:val="0"/>
                <w:szCs w:val="21"/>
              </w:rPr>
              <w:t>课</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公共</w:t>
            </w:r>
          </w:p>
          <w:p>
            <w:pPr>
              <w:widowControl/>
              <w:jc w:val="center"/>
              <w:rPr>
                <w:rFonts w:hint="eastAsia" w:cs="宋体" w:asciiTheme="minorEastAsia" w:hAnsiTheme="minorEastAsia"/>
                <w:kern w:val="0"/>
                <w:szCs w:val="21"/>
              </w:rPr>
            </w:pPr>
            <w:r>
              <w:rPr>
                <w:rFonts w:hint="eastAsia" w:cs="宋体" w:asciiTheme="minorEastAsia" w:hAnsiTheme="minorEastAsia"/>
                <w:kern w:val="0"/>
                <w:szCs w:val="21"/>
              </w:rPr>
              <w:t>安全</w:t>
            </w:r>
          </w:p>
          <w:p>
            <w:pPr>
              <w:widowControl/>
              <w:jc w:val="center"/>
              <w:rPr>
                <w:rFonts w:cs="宋体" w:asciiTheme="minorEastAsia" w:hAnsiTheme="minorEastAsia"/>
                <w:kern w:val="0"/>
                <w:szCs w:val="21"/>
              </w:rPr>
            </w:pPr>
            <w:r>
              <w:rPr>
                <w:rFonts w:hint="eastAsia" w:cs="宋体" w:asciiTheme="minorEastAsia" w:hAnsiTheme="minorEastAsia"/>
                <w:kern w:val="0"/>
                <w:szCs w:val="21"/>
              </w:rPr>
              <w:t>管理</w:t>
            </w:r>
          </w:p>
          <w:p>
            <w:pPr>
              <w:widowControl/>
              <w:jc w:val="center"/>
              <w:rPr>
                <w:rFonts w:cs="宋体" w:asciiTheme="minorEastAsia" w:hAnsiTheme="minorEastAsia"/>
                <w:kern w:val="0"/>
                <w:szCs w:val="21"/>
              </w:rPr>
            </w:pPr>
            <w:r>
              <w:rPr>
                <w:rFonts w:hint="eastAsia" w:cs="宋体" w:asciiTheme="minorEastAsia" w:hAnsiTheme="minorEastAsia"/>
                <w:kern w:val="0"/>
                <w:szCs w:val="21"/>
              </w:rPr>
              <w:t>方向</w:t>
            </w: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公共安全概论</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100" w:beforeAutospacing="1" w:afterAutospacing="1"/>
              <w:jc w:val="center"/>
              <w:rPr>
                <w:rFonts w:asciiTheme="minorEastAsia" w:hAnsiTheme="minorEastAsia"/>
                <w:szCs w:val="21"/>
              </w:rPr>
            </w:pPr>
            <w:r>
              <w:rPr>
                <w:rFonts w:asciiTheme="minorEastAsia" w:hAnsiTheme="minorEastAsia"/>
                <w:szCs w:val="21"/>
              </w:rPr>
              <w:t>章友德</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64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公共危机管理</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3</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asciiTheme="minorEastAsia" w:hAnsiTheme="minorEastAsia"/>
                <w:szCs w:val="21"/>
              </w:rPr>
              <w:t>王涵</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64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冲突管理</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100" w:beforeAutospacing="1" w:afterAutospacing="1"/>
              <w:jc w:val="center"/>
              <w:rPr>
                <w:rFonts w:asciiTheme="minorEastAsia" w:hAnsiTheme="minorEastAsia"/>
                <w:szCs w:val="21"/>
              </w:rPr>
            </w:pPr>
            <w:r>
              <w:rPr>
                <w:rFonts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heme="minorEastAsia" w:hAnsiTheme="minorEastAsia"/>
                <w:szCs w:val="21"/>
              </w:rPr>
            </w:pPr>
            <w:r>
              <w:rPr>
                <w:rFonts w:asciiTheme="minorEastAsia" w:hAnsiTheme="minorEastAsia"/>
                <w:szCs w:val="21"/>
              </w:rPr>
              <w:t>梅剑明</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64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国际恐怖主义</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100" w:beforeAutospacing="1" w:afterAutospacing="1"/>
              <w:jc w:val="center"/>
              <w:rPr>
                <w:rFonts w:asciiTheme="minorEastAsia" w:hAnsiTheme="minorEastAsia"/>
                <w:szCs w:val="21"/>
              </w:rPr>
            </w:pPr>
            <w:r>
              <w:rPr>
                <w:rFonts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heme="minorEastAsia" w:hAnsiTheme="minorEastAsia"/>
                <w:szCs w:val="21"/>
              </w:rPr>
            </w:pPr>
            <w:r>
              <w:rPr>
                <w:rFonts w:asciiTheme="minorEastAsia" w:hAnsiTheme="minorEastAsia"/>
                <w:szCs w:val="21"/>
              </w:rPr>
              <w:t>张少英</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jc w:val="center"/>
              <w:rPr>
                <w:rFonts w:cs="宋体" w:asciiTheme="minorEastAsia" w:hAnsiTheme="minorEastAsia"/>
                <w:b/>
                <w:kern w:val="0"/>
                <w:szCs w:val="21"/>
              </w:rPr>
            </w:pPr>
            <w:r>
              <w:rPr>
                <w:rFonts w:hint="eastAsia" w:cs="宋体" w:asciiTheme="minorEastAsia" w:hAnsiTheme="minorEastAsia"/>
                <w:b/>
                <w:kern w:val="0"/>
                <w:szCs w:val="21"/>
              </w:rPr>
              <w:t>方</w:t>
            </w:r>
          </w:p>
          <w:p>
            <w:pPr>
              <w:widowControl/>
              <w:spacing w:line="440" w:lineRule="exact"/>
              <w:jc w:val="center"/>
              <w:rPr>
                <w:rFonts w:cs="宋体" w:asciiTheme="minorEastAsia" w:hAnsiTheme="minorEastAsia"/>
                <w:kern w:val="0"/>
                <w:szCs w:val="21"/>
              </w:rPr>
            </w:pPr>
            <w:r>
              <w:rPr>
                <w:rFonts w:hint="eastAsia" w:cs="宋体" w:asciiTheme="minorEastAsia" w:hAnsiTheme="minorEastAsia"/>
                <w:b/>
                <w:kern w:val="0"/>
                <w:szCs w:val="21"/>
              </w:rPr>
              <w:t>向</w:t>
            </w:r>
          </w:p>
          <w:p>
            <w:pPr>
              <w:widowControl/>
              <w:spacing w:line="440" w:lineRule="exact"/>
              <w:jc w:val="center"/>
              <w:rPr>
                <w:rFonts w:cs="宋体" w:asciiTheme="minorEastAsia" w:hAnsiTheme="minorEastAsia"/>
                <w:kern w:val="0"/>
                <w:szCs w:val="21"/>
              </w:rPr>
            </w:pPr>
            <w:r>
              <w:rPr>
                <w:rFonts w:hint="eastAsia" w:cs="宋体" w:asciiTheme="minorEastAsia" w:hAnsiTheme="minorEastAsia"/>
                <w:b/>
                <w:kern w:val="0"/>
                <w:szCs w:val="21"/>
              </w:rPr>
              <w:t>选</w:t>
            </w:r>
          </w:p>
          <w:p>
            <w:pPr>
              <w:widowControl/>
              <w:spacing w:line="440" w:lineRule="exact"/>
              <w:jc w:val="center"/>
              <w:rPr>
                <w:rFonts w:cs="宋体" w:asciiTheme="minorEastAsia" w:hAnsiTheme="minorEastAsia"/>
                <w:kern w:val="0"/>
                <w:szCs w:val="21"/>
              </w:rPr>
            </w:pPr>
            <w:r>
              <w:rPr>
                <w:rFonts w:hint="eastAsia" w:cs="宋体" w:asciiTheme="minorEastAsia" w:hAnsiTheme="minorEastAsia"/>
                <w:b/>
                <w:kern w:val="0"/>
                <w:szCs w:val="21"/>
              </w:rPr>
              <w:t>修</w:t>
            </w:r>
          </w:p>
          <w:p>
            <w:pPr>
              <w:widowControl/>
              <w:spacing w:line="440" w:lineRule="exact"/>
              <w:jc w:val="center"/>
              <w:rPr>
                <w:rFonts w:cs="宋体" w:asciiTheme="minorEastAsia" w:hAnsiTheme="minorEastAsia"/>
                <w:kern w:val="0"/>
                <w:szCs w:val="21"/>
              </w:rPr>
            </w:pPr>
            <w:r>
              <w:rPr>
                <w:rFonts w:hint="eastAsia" w:cs="宋体" w:asciiTheme="minorEastAsia" w:hAnsiTheme="minorEastAsia"/>
                <w:b/>
                <w:kern w:val="0"/>
                <w:szCs w:val="21"/>
              </w:rPr>
              <w:t>课</w:t>
            </w: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当代中国政府与政治</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asciiTheme="minorEastAsia" w:hAnsiTheme="minorEastAsia"/>
                <w:szCs w:val="21"/>
              </w:rPr>
              <w:t>王聪</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市政管理</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asciiTheme="minorEastAsia" w:hAnsiTheme="minorEastAsia"/>
                <w:szCs w:val="21"/>
              </w:rPr>
              <w:t>申剑敏</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社区管理</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asciiTheme="minorEastAsia" w:hAnsiTheme="minorEastAsia"/>
                <w:szCs w:val="21"/>
              </w:rPr>
              <w:t>王晓晶</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管理哲学</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asciiTheme="minorEastAsia" w:hAnsiTheme="minorEastAsia"/>
                <w:szCs w:val="21"/>
              </w:rPr>
              <w:t>赵雅丹</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公共财政学</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asciiTheme="minorEastAsia" w:hAnsiTheme="minorEastAsia"/>
                <w:szCs w:val="21"/>
              </w:rPr>
              <w:t>徐锐</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公共部门绩效评估</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4</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王裔燕</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国际谈判</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4</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asciiTheme="minorEastAsia" w:hAnsiTheme="minorEastAsia"/>
                <w:szCs w:val="21"/>
              </w:rPr>
              <w:t>周秋君</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kern w:val="0"/>
                <w:szCs w:val="21"/>
              </w:rPr>
            </w:pP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全球治理</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4</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100" w:beforeAutospacing="1" w:afterAutospacing="1"/>
              <w:jc w:val="center"/>
              <w:rPr>
                <w:rFonts w:asciiTheme="minorEastAsia" w:hAnsiTheme="minorEastAsia"/>
                <w:szCs w:val="21"/>
              </w:rPr>
            </w:pPr>
            <w:r>
              <w:rPr>
                <w:rFonts w:asciiTheme="minorEastAsia" w:hAnsiTheme="minorEastAsia"/>
                <w:szCs w:val="21"/>
              </w:rPr>
              <w:t>谈谭</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32</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Theme="minorEastAsia" w:hAnsiTheme="minorEastAsia"/>
                <w:szCs w:val="21"/>
              </w:rPr>
            </w:pPr>
            <w:r>
              <w:rPr>
                <w:rFonts w:hint="eastAsia" w:asciiTheme="minorEastAsia" w:hAnsiTheme="minorEastAsia"/>
                <w:szCs w:val="21"/>
              </w:rPr>
              <w:t>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5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440" w:lineRule="exact"/>
              <w:jc w:val="center"/>
              <w:rPr>
                <w:rFonts w:cs="宋体" w:asciiTheme="minorEastAsia" w:hAnsiTheme="minorEastAsia"/>
                <w:kern w:val="0"/>
                <w:szCs w:val="21"/>
              </w:rPr>
            </w:pPr>
            <w:r>
              <w:rPr>
                <w:rFonts w:hint="eastAsia" w:cs="宋体" w:asciiTheme="minorEastAsia" w:hAnsiTheme="minorEastAsia"/>
                <w:b/>
                <w:kern w:val="0"/>
                <w:szCs w:val="21"/>
              </w:rPr>
              <w:t>实践教学</w:t>
            </w:r>
          </w:p>
        </w:tc>
        <w:tc>
          <w:tcPr>
            <w:tcW w:w="338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专业实习</w:t>
            </w:r>
          </w:p>
        </w:tc>
        <w:tc>
          <w:tcPr>
            <w:tcW w:w="76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5</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100" w:beforeAutospacing="1" w:after="100" w:afterAutospacing="1"/>
              <w:jc w:val="center"/>
              <w:rPr>
                <w:rFonts w:asciiTheme="minorEastAsia" w:hAnsiTheme="minorEastAsia"/>
                <w:szCs w:val="21"/>
              </w:rPr>
            </w:pP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spacing w:before="100" w:beforeAutospacing="1" w:after="100" w:afterAutospacing="1"/>
              <w:jc w:val="center"/>
              <w:rPr>
                <w:rFonts w:asciiTheme="minorEastAsia" w:hAnsiTheme="minorEastAsia"/>
                <w:szCs w:val="21"/>
              </w:rPr>
            </w:pP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inorEastAsia" w:hAnsiTheme="minorEastAsia"/>
                <w:szCs w:val="21"/>
              </w:rPr>
            </w:pPr>
            <w:r>
              <w:rPr>
                <w:rFonts w:hint="eastAsia" w:asciiTheme="minorEastAsia" w:hAnsiTheme="minorEastAsia"/>
                <w:szCs w:val="21"/>
              </w:rPr>
              <w:t>考查</w:t>
            </w:r>
          </w:p>
        </w:tc>
      </w:tr>
    </w:tbl>
    <w:p>
      <w:pPr>
        <w:rPr>
          <w:rFonts w:ascii="仿宋" w:hAnsi="仿宋" w:eastAsia="仿宋" w:cs="Helvetica"/>
          <w:color w:val="777777"/>
          <w:kern w:val="0"/>
          <w:sz w:val="29"/>
          <w:szCs w:val="29"/>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7D4"/>
    <w:rsid w:val="00046E67"/>
    <w:rsid w:val="0005730E"/>
    <w:rsid w:val="00136BA3"/>
    <w:rsid w:val="0026047D"/>
    <w:rsid w:val="003817B4"/>
    <w:rsid w:val="0038594F"/>
    <w:rsid w:val="00575DFC"/>
    <w:rsid w:val="006634DF"/>
    <w:rsid w:val="006E055A"/>
    <w:rsid w:val="00764973"/>
    <w:rsid w:val="00926359"/>
    <w:rsid w:val="00944E73"/>
    <w:rsid w:val="0096358F"/>
    <w:rsid w:val="00B33668"/>
    <w:rsid w:val="00C657D4"/>
    <w:rsid w:val="00C755A9"/>
    <w:rsid w:val="00CF02CB"/>
    <w:rsid w:val="00E54649"/>
    <w:rsid w:val="764841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552</Words>
  <Characters>3149</Characters>
  <Lines>26</Lines>
  <Paragraphs>7</Paragraphs>
  <TotalTime>159</TotalTime>
  <ScaleCrop>false</ScaleCrop>
  <LinksUpToDate>false</LinksUpToDate>
  <CharactersWithSpaces>3694</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2020-10-16T01:47:00Z</dcterms:created>
  <dc:creator>Lenovo</dc:creator>
  <cp:lastModifiedBy>杜建军</cp:lastModifiedBy>
  <dcterms:modified xsi:type="dcterms:W3CDTF">2020-10-19T06:29:19Z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